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17" w:rsidRPr="000F2E7D" w:rsidRDefault="007E1617">
      <w:pPr>
        <w:jc w:val="center"/>
        <w:rPr>
          <w:rFonts w:ascii="Times New Roman" w:hAnsi="Times New Roman"/>
          <w:b/>
          <w:sz w:val="36"/>
          <w:u w:val="single"/>
        </w:rPr>
      </w:pPr>
      <w:r w:rsidRPr="000F2E7D">
        <w:rPr>
          <w:rFonts w:ascii="Times New Roman" w:hAnsi="Times New Roman"/>
          <w:b/>
          <w:sz w:val="36"/>
          <w:u w:val="single"/>
        </w:rPr>
        <w:t>COST-BENEFIT FRAMEWORK</w:t>
      </w:r>
    </w:p>
    <w:p w:rsidR="008C0D90" w:rsidRPr="000F2E7D" w:rsidRDefault="008C0D90" w:rsidP="008C0D90">
      <w:pPr>
        <w:spacing w:after="0" w:line="240" w:lineRule="auto"/>
        <w:jc w:val="center"/>
        <w:rPr>
          <w:rFonts w:ascii="Times New Roman" w:hAnsi="Times New Roman"/>
          <w:b/>
          <w:sz w:val="36"/>
        </w:rPr>
      </w:pPr>
      <w:r w:rsidRPr="000F2E7D">
        <w:rPr>
          <w:rFonts w:ascii="Times New Roman" w:hAnsi="Times New Roman"/>
          <w:b/>
          <w:sz w:val="36"/>
        </w:rPr>
        <w:t>Introduction</w:t>
      </w:r>
    </w:p>
    <w:p w:rsidR="008C0D90" w:rsidRDefault="008C0D90" w:rsidP="008C0D90">
      <w:pPr>
        <w:spacing w:after="0" w:line="240" w:lineRule="auto"/>
        <w:jc w:val="center"/>
        <w:rPr>
          <w:rFonts w:ascii="Times New Roman" w:hAnsi="Times New Roman"/>
          <w:b/>
          <w:sz w:val="32"/>
        </w:rPr>
      </w:pPr>
    </w:p>
    <w:p w:rsidR="00FE1551" w:rsidRPr="008C0D90" w:rsidRDefault="00FE1551" w:rsidP="000F2E7D">
      <w:pPr>
        <w:spacing w:before="120" w:after="120"/>
        <w:rPr>
          <w:rFonts w:ascii="Times New Roman" w:hAnsi="Times New Roman"/>
          <w:b/>
          <w:sz w:val="28"/>
        </w:rPr>
      </w:pPr>
      <w:r w:rsidRPr="008C0D90">
        <w:rPr>
          <w:rFonts w:ascii="Times New Roman" w:hAnsi="Times New Roman"/>
          <w:b/>
          <w:sz w:val="28"/>
        </w:rPr>
        <w:t>Cost-Benefit Framework Scope and Objectives</w:t>
      </w:r>
    </w:p>
    <w:p w:rsidR="00FE1551" w:rsidRDefault="00933060" w:rsidP="00E67DF6">
      <w:pPr>
        <w:spacing w:before="240"/>
        <w:rPr>
          <w:rFonts w:ascii="Times New Roman" w:hAnsi="Times New Roman"/>
          <w:sz w:val="28"/>
        </w:rPr>
      </w:pPr>
      <w:r>
        <w:rPr>
          <w:rFonts w:ascii="Times New Roman" w:hAnsi="Times New Roman"/>
          <w:sz w:val="28"/>
        </w:rPr>
        <w:t>In the Commission’s Order, t</w:t>
      </w:r>
      <w:r w:rsidR="00FE1551" w:rsidRPr="00DD0AE8">
        <w:rPr>
          <w:rFonts w:ascii="Times New Roman" w:hAnsi="Times New Roman"/>
          <w:sz w:val="28"/>
        </w:rPr>
        <w:t xml:space="preserve">he </w:t>
      </w:r>
      <w:r w:rsidR="00C867AD">
        <w:rPr>
          <w:rFonts w:ascii="Times New Roman" w:hAnsi="Times New Roman"/>
          <w:sz w:val="28"/>
        </w:rPr>
        <w:t>Collaborative</w:t>
      </w:r>
      <w:r w:rsidR="00FE1551" w:rsidRPr="00DD0AE8">
        <w:rPr>
          <w:rFonts w:ascii="Times New Roman" w:hAnsi="Times New Roman"/>
          <w:sz w:val="28"/>
        </w:rPr>
        <w:t xml:space="preserve"> was tasked with developing cost-benefit concepts to be applied to </w:t>
      </w:r>
      <w:r w:rsidR="00EA1442">
        <w:rPr>
          <w:rFonts w:ascii="Times New Roman" w:hAnsi="Times New Roman"/>
          <w:sz w:val="28"/>
        </w:rPr>
        <w:t>smart grid</w:t>
      </w:r>
      <w:r w:rsidR="00FE1551" w:rsidRPr="00DD0AE8">
        <w:rPr>
          <w:rFonts w:ascii="Times New Roman" w:hAnsi="Times New Roman"/>
          <w:sz w:val="28"/>
        </w:rPr>
        <w:t xml:space="preserve"> investments.  </w:t>
      </w:r>
      <w:r w:rsidR="00EE51C3">
        <w:rPr>
          <w:rFonts w:ascii="Times New Roman" w:hAnsi="Times New Roman"/>
          <w:sz w:val="28"/>
        </w:rPr>
        <w:t>L</w:t>
      </w:r>
      <w:r w:rsidR="00C867AD">
        <w:rPr>
          <w:rFonts w:ascii="Times New Roman" w:hAnsi="Times New Roman"/>
          <w:sz w:val="28"/>
        </w:rPr>
        <w:t xml:space="preserve">anguage </w:t>
      </w:r>
      <w:r w:rsidR="00904D5D">
        <w:rPr>
          <w:rFonts w:ascii="Times New Roman" w:hAnsi="Times New Roman"/>
          <w:sz w:val="28"/>
        </w:rPr>
        <w:t>in the O</w:t>
      </w:r>
      <w:r w:rsidR="00FE1551" w:rsidRPr="00DD0AE8">
        <w:rPr>
          <w:rFonts w:ascii="Times New Roman" w:hAnsi="Times New Roman"/>
          <w:sz w:val="28"/>
        </w:rPr>
        <w:t xml:space="preserve">rder </w:t>
      </w:r>
      <w:r>
        <w:rPr>
          <w:rFonts w:ascii="Times New Roman" w:hAnsi="Times New Roman"/>
          <w:sz w:val="28"/>
        </w:rPr>
        <w:t>asks for</w:t>
      </w:r>
      <w:r w:rsidRPr="00DD0AE8">
        <w:rPr>
          <w:rFonts w:ascii="Times New Roman" w:hAnsi="Times New Roman"/>
          <w:sz w:val="28"/>
        </w:rPr>
        <w:t xml:space="preserve"> </w:t>
      </w:r>
      <w:r w:rsidR="00C867AD">
        <w:rPr>
          <w:rFonts w:ascii="Times New Roman" w:hAnsi="Times New Roman"/>
          <w:sz w:val="28"/>
        </w:rPr>
        <w:t xml:space="preserve">recommendations </w:t>
      </w:r>
      <w:r w:rsidR="00EE51C3">
        <w:rPr>
          <w:rFonts w:ascii="Times New Roman" w:hAnsi="Times New Roman"/>
          <w:sz w:val="28"/>
        </w:rPr>
        <w:t>on</w:t>
      </w:r>
      <w:r w:rsidR="00C867AD">
        <w:rPr>
          <w:rFonts w:ascii="Times New Roman" w:hAnsi="Times New Roman"/>
          <w:sz w:val="28"/>
        </w:rPr>
        <w:t xml:space="preserve"> the </w:t>
      </w:r>
      <w:r w:rsidR="00FE1551" w:rsidRPr="00DD0AE8">
        <w:rPr>
          <w:rFonts w:ascii="Times New Roman" w:hAnsi="Times New Roman"/>
          <w:sz w:val="28"/>
        </w:rPr>
        <w:t xml:space="preserve">definition </w:t>
      </w:r>
      <w:r w:rsidR="00EE51C3">
        <w:rPr>
          <w:rFonts w:ascii="Times New Roman" w:hAnsi="Times New Roman"/>
          <w:sz w:val="28"/>
        </w:rPr>
        <w:t xml:space="preserve">of </w:t>
      </w:r>
      <w:r w:rsidR="00FE1551" w:rsidRPr="00DD0AE8">
        <w:rPr>
          <w:rFonts w:ascii="Times New Roman" w:hAnsi="Times New Roman"/>
          <w:sz w:val="28"/>
        </w:rPr>
        <w:t>“methods of estimating, calculating and assessing benefits and costs, including evaluation of non-quantifiable benefits (and costs).”  Based on its understanding</w:t>
      </w:r>
      <w:r w:rsidR="00904D5D">
        <w:rPr>
          <w:rFonts w:ascii="Times New Roman" w:hAnsi="Times New Roman"/>
          <w:sz w:val="28"/>
        </w:rPr>
        <w:t xml:space="preserve"> of the Order</w:t>
      </w:r>
      <w:r w:rsidR="00FE1551" w:rsidRPr="00DD0AE8">
        <w:rPr>
          <w:rFonts w:ascii="Times New Roman" w:hAnsi="Times New Roman"/>
          <w:sz w:val="28"/>
        </w:rPr>
        <w:t xml:space="preserve">, the Collaborative </w:t>
      </w:r>
      <w:r>
        <w:rPr>
          <w:rFonts w:ascii="Times New Roman" w:hAnsi="Times New Roman"/>
          <w:sz w:val="28"/>
        </w:rPr>
        <w:t>agreed on</w:t>
      </w:r>
      <w:r w:rsidRPr="00DD0AE8">
        <w:rPr>
          <w:rFonts w:ascii="Times New Roman" w:hAnsi="Times New Roman"/>
          <w:sz w:val="28"/>
        </w:rPr>
        <w:t xml:space="preserve"> </w:t>
      </w:r>
      <w:r w:rsidR="00FE1551" w:rsidRPr="00DD0AE8">
        <w:rPr>
          <w:rFonts w:ascii="Times New Roman" w:hAnsi="Times New Roman"/>
          <w:sz w:val="28"/>
        </w:rPr>
        <w:t xml:space="preserve">the following objective: </w:t>
      </w:r>
      <w:r>
        <w:rPr>
          <w:rFonts w:ascii="Times New Roman" w:hAnsi="Times New Roman"/>
          <w:sz w:val="28"/>
        </w:rPr>
        <w:t>to d</w:t>
      </w:r>
      <w:r w:rsidR="00FE1551" w:rsidRPr="00DD0AE8">
        <w:rPr>
          <w:rFonts w:ascii="Times New Roman" w:hAnsi="Times New Roman"/>
          <w:sz w:val="28"/>
        </w:rPr>
        <w:t xml:space="preserve">evelop a standardized cost-benefit framework for proposed smart grid investments so that future debates about the cost-effectiveness of potential smart grid investments in Illinois can center on the reasonableness and supportability of estimated costs and benefits rather than the methodology for conducting cost-benefit analysis.  Therefore, the emphasis </w:t>
      </w:r>
      <w:r w:rsidR="00904D5D">
        <w:rPr>
          <w:rFonts w:ascii="Times New Roman" w:hAnsi="Times New Roman"/>
          <w:sz w:val="28"/>
        </w:rPr>
        <w:t>of the Collaborative</w:t>
      </w:r>
      <w:r w:rsidR="00FE1551" w:rsidRPr="00DD0AE8">
        <w:rPr>
          <w:rFonts w:ascii="Times New Roman" w:hAnsi="Times New Roman"/>
          <w:sz w:val="28"/>
        </w:rPr>
        <w:t xml:space="preserve"> has been the development of a methodology and guidance for conducting an analysis rather than actual evaluation of potential smart grid investments.   </w:t>
      </w:r>
    </w:p>
    <w:p w:rsidR="00C867AD" w:rsidRDefault="00933060" w:rsidP="00E67DF6">
      <w:pPr>
        <w:spacing w:before="240"/>
        <w:rPr>
          <w:rFonts w:ascii="Times New Roman" w:hAnsi="Times New Roman"/>
          <w:sz w:val="28"/>
        </w:rPr>
      </w:pPr>
      <w:r>
        <w:rPr>
          <w:rFonts w:ascii="Times New Roman" w:hAnsi="Times New Roman"/>
          <w:sz w:val="28"/>
        </w:rPr>
        <w:t>Specifically, the Collaborative tried to answer the following questions</w:t>
      </w:r>
      <w:r w:rsidR="00C867AD">
        <w:rPr>
          <w:rFonts w:ascii="Times New Roman" w:hAnsi="Times New Roman"/>
          <w:sz w:val="28"/>
        </w:rPr>
        <w:t>:</w:t>
      </w:r>
    </w:p>
    <w:p w:rsidR="00D328EB" w:rsidRDefault="00C867AD">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Ho</w:t>
      </w:r>
      <w:r w:rsidR="000E5936">
        <w:rPr>
          <w:rFonts w:ascii="Times New Roman" w:eastAsia="+mn-ea" w:hAnsi="Times New Roman"/>
          <w:color w:val="000000"/>
          <w:sz w:val="28"/>
          <w:szCs w:val="28"/>
        </w:rPr>
        <w:t xml:space="preserve">w should the Commission analyze and </w:t>
      </w:r>
      <w:r w:rsidRPr="00E67DF6">
        <w:rPr>
          <w:rFonts w:ascii="Times New Roman" w:eastAsia="+mn-ea" w:hAnsi="Times New Roman"/>
          <w:color w:val="000000"/>
          <w:sz w:val="28"/>
          <w:szCs w:val="28"/>
        </w:rPr>
        <w:t>evaluate the cost-benefit of smart grid investments?</w:t>
      </w:r>
    </w:p>
    <w:p w:rsidR="00D328EB" w:rsidRDefault="00C867AD">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What costs and benefits sho</w:t>
      </w:r>
      <w:r w:rsidR="000E5936">
        <w:rPr>
          <w:rFonts w:ascii="Times New Roman" w:eastAsia="+mn-ea" w:hAnsi="Times New Roman"/>
          <w:color w:val="000000"/>
          <w:sz w:val="28"/>
          <w:szCs w:val="28"/>
        </w:rPr>
        <w:t xml:space="preserve">uld be included in the analysis </w:t>
      </w:r>
      <w:r w:rsidRPr="00E67DF6">
        <w:rPr>
          <w:rFonts w:ascii="Times New Roman" w:eastAsia="+mn-ea" w:hAnsi="Times New Roman"/>
          <w:color w:val="000000"/>
          <w:sz w:val="28"/>
          <w:szCs w:val="28"/>
        </w:rPr>
        <w:t>– and how should costs and benefits be captured?</w:t>
      </w:r>
    </w:p>
    <w:p w:rsidR="00D328EB" w:rsidRDefault="00C867AD">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Ho</w:t>
      </w:r>
      <w:r w:rsidR="000E5936">
        <w:rPr>
          <w:rFonts w:ascii="Times New Roman" w:eastAsia="+mn-ea" w:hAnsi="Times New Roman"/>
          <w:color w:val="000000"/>
          <w:sz w:val="28"/>
          <w:szCs w:val="28"/>
        </w:rPr>
        <w:t>w should the analysis</w:t>
      </w:r>
      <w:r w:rsidRPr="00E67DF6">
        <w:rPr>
          <w:rFonts w:ascii="Times New Roman" w:eastAsia="+mn-ea" w:hAnsi="Times New Roman"/>
          <w:color w:val="000000"/>
          <w:sz w:val="28"/>
          <w:szCs w:val="28"/>
        </w:rPr>
        <w:t xml:space="preserve"> be structured?</w:t>
      </w:r>
    </w:p>
    <w:p w:rsidR="00FE1551" w:rsidRPr="00C662E8" w:rsidRDefault="00FE1551" w:rsidP="00FE1551">
      <w:pPr>
        <w:spacing w:before="240"/>
        <w:rPr>
          <w:rFonts w:ascii="Times New Roman" w:hAnsi="Times New Roman"/>
          <w:b/>
          <w:sz w:val="28"/>
        </w:rPr>
      </w:pPr>
      <w:r w:rsidRPr="00C662E8">
        <w:rPr>
          <w:rFonts w:ascii="Times New Roman" w:hAnsi="Times New Roman"/>
          <w:b/>
          <w:sz w:val="28"/>
        </w:rPr>
        <w:t>Traditional Cost-Benefit Principles and Guidelines</w:t>
      </w:r>
    </w:p>
    <w:p w:rsidR="00FE1551" w:rsidRPr="00DD0AE8" w:rsidRDefault="00FE1551" w:rsidP="00C662E8">
      <w:pPr>
        <w:spacing w:before="240"/>
        <w:rPr>
          <w:rFonts w:ascii="Times New Roman" w:hAnsi="Times New Roman"/>
          <w:sz w:val="28"/>
        </w:rPr>
      </w:pPr>
      <w:r w:rsidRPr="00DD0AE8">
        <w:rPr>
          <w:rFonts w:ascii="Times New Roman" w:hAnsi="Times New Roman"/>
          <w:sz w:val="28"/>
        </w:rPr>
        <w:t xml:space="preserve">Cost-benefit analysis is </w:t>
      </w:r>
      <w:r w:rsidR="00BC0223">
        <w:rPr>
          <w:rFonts w:ascii="Times New Roman" w:hAnsi="Times New Roman"/>
          <w:sz w:val="28"/>
        </w:rPr>
        <w:t xml:space="preserve">usually </w:t>
      </w:r>
      <w:r w:rsidRPr="00DD0AE8">
        <w:rPr>
          <w:rFonts w:ascii="Times New Roman" w:hAnsi="Times New Roman"/>
          <w:sz w:val="28"/>
        </w:rPr>
        <w:t>concerned with estimating and summing the equivalent value of the benefits and costs of investments to establish whether they are prudent and worthwhile on an economic basis</w:t>
      </w:r>
      <w:r w:rsidR="00BC0223">
        <w:rPr>
          <w:rFonts w:ascii="Times New Roman" w:hAnsi="Times New Roman"/>
          <w:sz w:val="28"/>
        </w:rPr>
        <w:t xml:space="preserve"> from a single point of view or perspective</w:t>
      </w:r>
      <w:r w:rsidRPr="00DD0AE8">
        <w:rPr>
          <w:rFonts w:ascii="Times New Roman" w:hAnsi="Times New Roman"/>
          <w:sz w:val="28"/>
        </w:rPr>
        <w:t xml:space="preserve">.  The process generally involves determining the </w:t>
      </w:r>
      <w:r w:rsidR="00F20A4E">
        <w:rPr>
          <w:rFonts w:ascii="Times New Roman" w:hAnsi="Times New Roman"/>
          <w:sz w:val="28"/>
        </w:rPr>
        <w:t>cost</w:t>
      </w:r>
      <w:r w:rsidRPr="00DD0AE8">
        <w:rPr>
          <w:rFonts w:ascii="Times New Roman" w:hAnsi="Times New Roman"/>
          <w:sz w:val="28"/>
        </w:rPr>
        <w:t xml:space="preserve"> of the investment </w:t>
      </w:r>
      <w:r w:rsidR="00F20A4E">
        <w:rPr>
          <w:rFonts w:ascii="Times New Roman" w:hAnsi="Times New Roman"/>
          <w:sz w:val="28"/>
        </w:rPr>
        <w:t xml:space="preserve">(including both the initial investment </w:t>
      </w:r>
      <w:r w:rsidRPr="00DD0AE8">
        <w:rPr>
          <w:rFonts w:ascii="Times New Roman" w:hAnsi="Times New Roman"/>
          <w:sz w:val="28"/>
        </w:rPr>
        <w:t>and ongoing expenses</w:t>
      </w:r>
      <w:r w:rsidR="00F20A4E">
        <w:rPr>
          <w:rFonts w:ascii="Times New Roman" w:hAnsi="Times New Roman"/>
          <w:sz w:val="28"/>
        </w:rPr>
        <w:t>)</w:t>
      </w:r>
      <w:r w:rsidRPr="00DD0AE8">
        <w:rPr>
          <w:rFonts w:ascii="Times New Roman" w:hAnsi="Times New Roman"/>
          <w:sz w:val="28"/>
        </w:rPr>
        <w:t xml:space="preserve"> </w:t>
      </w:r>
      <w:r w:rsidR="00F20A4E">
        <w:rPr>
          <w:rFonts w:ascii="Times New Roman" w:hAnsi="Times New Roman"/>
          <w:sz w:val="28"/>
        </w:rPr>
        <w:t>and comparing this cost to the</w:t>
      </w:r>
      <w:r w:rsidRPr="00DD0AE8">
        <w:rPr>
          <w:rFonts w:ascii="Times New Roman" w:hAnsi="Times New Roman"/>
          <w:sz w:val="28"/>
        </w:rPr>
        <w:t xml:space="preserve"> expected benefits</w:t>
      </w:r>
      <w:r w:rsidR="00F20A4E">
        <w:rPr>
          <w:rFonts w:ascii="Times New Roman" w:hAnsi="Times New Roman"/>
          <w:sz w:val="28"/>
        </w:rPr>
        <w:t xml:space="preserve"> from the investment</w:t>
      </w:r>
      <w:r w:rsidRPr="00DD0AE8">
        <w:rPr>
          <w:rFonts w:ascii="Times New Roman" w:hAnsi="Times New Roman"/>
          <w:sz w:val="28"/>
        </w:rPr>
        <w:t>.  Typically, the following steps are used to reach a conclusion:</w:t>
      </w:r>
    </w:p>
    <w:p w:rsidR="00D328EB" w:rsidRDefault="009400CC">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Pr>
          <w:rFonts w:ascii="Times New Roman" w:eastAsia="+mn-ea" w:hAnsi="Times New Roman"/>
          <w:color w:val="000000"/>
          <w:sz w:val="28"/>
          <w:szCs w:val="28"/>
        </w:rPr>
        <w:lastRenderedPageBreak/>
        <w:t>All factors or variables</w:t>
      </w:r>
      <w:r w:rsidR="00FE1551" w:rsidRPr="00E67DF6">
        <w:rPr>
          <w:rFonts w:ascii="Times New Roman" w:eastAsia="+mn-ea" w:hAnsi="Times New Roman"/>
          <w:color w:val="000000"/>
          <w:sz w:val="28"/>
          <w:szCs w:val="28"/>
        </w:rPr>
        <w:t xml:space="preserve"> potentially having an impact (positively or negatively) on the investment are identified.  An estimate or assumption is made as to the amount of impact each variable is expected to have on the project – sometimes called the “quantification” of variables.</w:t>
      </w:r>
    </w:p>
    <w:p w:rsidR="003F5041" w:rsidRDefault="003F5041">
      <w:pPr>
        <w:pStyle w:val="ListParagraph"/>
        <w:kinsoku w:val="0"/>
        <w:overflowPunct w:val="0"/>
        <w:spacing w:after="0"/>
        <w:ind w:left="990"/>
        <w:textAlignment w:val="baseline"/>
        <w:rPr>
          <w:rFonts w:ascii="Times New Roman" w:eastAsia="+mn-ea" w:hAnsi="Times New Roman"/>
          <w:color w:val="000000"/>
          <w:sz w:val="28"/>
          <w:szCs w:val="28"/>
        </w:rPr>
      </w:pPr>
    </w:p>
    <w:p w:rsidR="00D328EB" w:rsidRDefault="00FE1551">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All aspects of the investment must be expressed in common terms – the most </w:t>
      </w:r>
      <w:r w:rsidR="00933060">
        <w:rPr>
          <w:rFonts w:ascii="Times New Roman" w:eastAsia="+mn-ea" w:hAnsi="Times New Roman"/>
          <w:color w:val="000000"/>
          <w:sz w:val="28"/>
          <w:szCs w:val="28"/>
        </w:rPr>
        <w:t>usual</w:t>
      </w:r>
      <w:r w:rsidR="009400CC">
        <w:rPr>
          <w:rFonts w:ascii="Times New Roman" w:eastAsia="+mn-ea" w:hAnsi="Times New Roman"/>
          <w:color w:val="000000"/>
          <w:sz w:val="28"/>
          <w:szCs w:val="28"/>
        </w:rPr>
        <w:t xml:space="preserve"> being monetary</w:t>
      </w:r>
      <w:r w:rsidRPr="00E67DF6">
        <w:rPr>
          <w:rFonts w:ascii="Times New Roman" w:eastAsia="+mn-ea" w:hAnsi="Times New Roman"/>
          <w:color w:val="000000"/>
          <w:sz w:val="28"/>
          <w:szCs w:val="28"/>
        </w:rPr>
        <w:t>.  The process of taking the qua</w:t>
      </w:r>
      <w:r w:rsidR="009400CC">
        <w:rPr>
          <w:rFonts w:ascii="Times New Roman" w:eastAsia="+mn-ea" w:hAnsi="Times New Roman"/>
          <w:color w:val="000000"/>
          <w:sz w:val="28"/>
          <w:szCs w:val="28"/>
        </w:rPr>
        <w:t xml:space="preserve">ntitative impact of each factor or </w:t>
      </w:r>
      <w:r w:rsidRPr="00E67DF6">
        <w:rPr>
          <w:rFonts w:ascii="Times New Roman" w:eastAsia="+mn-ea" w:hAnsi="Times New Roman"/>
          <w:color w:val="000000"/>
          <w:sz w:val="28"/>
          <w:szCs w:val="28"/>
        </w:rPr>
        <w:t xml:space="preserve">variable and converting into equivalent monetary value is sometimes called “monetization.”  </w:t>
      </w:r>
      <w:r w:rsidR="00933060">
        <w:rPr>
          <w:rFonts w:ascii="Times New Roman" w:eastAsia="+mn-ea" w:hAnsi="Times New Roman"/>
          <w:color w:val="000000"/>
          <w:sz w:val="28"/>
          <w:szCs w:val="28"/>
        </w:rPr>
        <w:t>This</w:t>
      </w:r>
      <w:r w:rsidRPr="00E67DF6">
        <w:rPr>
          <w:rFonts w:ascii="Times New Roman" w:eastAsia="+mn-ea" w:hAnsi="Times New Roman"/>
          <w:color w:val="000000"/>
          <w:sz w:val="28"/>
          <w:szCs w:val="28"/>
        </w:rPr>
        <w:t xml:space="preserve"> conversion into equivalent monetary terms involves accounting for the time value of money – usually by converting the future expected streams of costs and benefits into a present value amount via a discount rate.  In financial calculations, the discount rate is </w:t>
      </w:r>
      <w:r w:rsidR="00933060">
        <w:rPr>
          <w:rFonts w:ascii="Times New Roman" w:eastAsia="+mn-ea" w:hAnsi="Times New Roman"/>
          <w:color w:val="000000"/>
          <w:sz w:val="28"/>
          <w:szCs w:val="28"/>
        </w:rPr>
        <w:t>sometimes</w:t>
      </w:r>
      <w:r w:rsidR="00933060" w:rsidRPr="00E67DF6">
        <w:rPr>
          <w:rFonts w:ascii="Times New Roman" w:eastAsia="+mn-ea" w:hAnsi="Times New Roman"/>
          <w:color w:val="000000"/>
          <w:sz w:val="28"/>
          <w:szCs w:val="28"/>
        </w:rPr>
        <w:t xml:space="preserve"> </w:t>
      </w:r>
      <w:r w:rsidRPr="00E67DF6">
        <w:rPr>
          <w:rFonts w:ascii="Times New Roman" w:eastAsia="+mn-ea" w:hAnsi="Times New Roman"/>
          <w:color w:val="000000"/>
          <w:sz w:val="28"/>
          <w:szCs w:val="28"/>
        </w:rPr>
        <w:t>equal to the entity’s weighted average cost of capital (WACC), representative of the market rate of return for the mix of financial assets the entity uses to finance capital investment (capital structure).</w:t>
      </w:r>
      <w:r w:rsidR="00206F1D">
        <w:rPr>
          <w:rFonts w:ascii="Times New Roman" w:eastAsia="+mn-ea" w:hAnsi="Times New Roman"/>
          <w:color w:val="000000"/>
          <w:sz w:val="28"/>
          <w:szCs w:val="28"/>
        </w:rPr>
        <w:t xml:space="preserve"> </w:t>
      </w:r>
    </w:p>
    <w:p w:rsidR="00C662E8" w:rsidRPr="00E67DF6" w:rsidRDefault="00C662E8" w:rsidP="00C662E8">
      <w:pPr>
        <w:pStyle w:val="ListParagraph"/>
        <w:kinsoku w:val="0"/>
        <w:overflowPunct w:val="0"/>
        <w:spacing w:after="0"/>
        <w:ind w:left="540"/>
        <w:textAlignment w:val="baseline"/>
        <w:rPr>
          <w:rFonts w:ascii="Times New Roman" w:eastAsia="+mn-ea" w:hAnsi="Times New Roman"/>
          <w:color w:val="000000"/>
          <w:sz w:val="28"/>
          <w:szCs w:val="28"/>
        </w:rPr>
      </w:pPr>
    </w:p>
    <w:p w:rsidR="00D328EB" w:rsidRDefault="00FE1551">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Calculations of multiple valuation measures can be performed to emphasize different aspects of the financial profile of the investment.  Some of the most common are:</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Payback Period – the period of time required for the return of and on an investment to "repay" the cost of the original investment.</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Breakeven Point – the point at which cost or expenses and revenue are equal and there is no net gain or loss.  This is often expressed in terms of units sold in a production environment in which there are fixed and variable costs.</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 xml:space="preserve">Net Present Value (NPV) – the difference between the present value of cash inflows and the present value of cash outflows over a defined period, at a given interest rate.  In calculations for most corporate decision-making, the cost of capital expected to support the investment is used as the interest (or discount) rate.  </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lastRenderedPageBreak/>
        <w:t xml:space="preserve">Internal Rate of Return (IRR) – the discount rate that makes the net present value of all cash flows from a particular investment equal to zero.  In contrast with NPV, which is an indicator of the magnitude of the investment return, IRR is an indicator of the efficiency or yield of an investment.  </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 xml:space="preserve">Benefit-Cost Ratio – the ratio of the present value benefits of an investment to its present value costs. </w:t>
      </w:r>
    </w:p>
    <w:p w:rsidR="00D328EB" w:rsidRDefault="00FE1551">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Since capital is often </w:t>
      </w:r>
      <w:r w:rsidR="00C662E8">
        <w:rPr>
          <w:rFonts w:ascii="Times New Roman" w:eastAsia="+mn-ea" w:hAnsi="Times New Roman"/>
          <w:color w:val="000000"/>
          <w:sz w:val="28"/>
          <w:szCs w:val="28"/>
        </w:rPr>
        <w:t>constrained (i.e., entities have insufficient resources to invest</w:t>
      </w:r>
      <w:r w:rsidRPr="00E67DF6">
        <w:rPr>
          <w:rFonts w:ascii="Times New Roman" w:eastAsia="+mn-ea" w:hAnsi="Times New Roman"/>
          <w:color w:val="000000"/>
          <w:sz w:val="28"/>
          <w:szCs w:val="28"/>
        </w:rPr>
        <w:t xml:space="preserve"> in every attractive project), investments are often compared in a capital budgeting process before final investment decisions are made.  Quantitative as well as qualitative factors (e.g., fit with strategy</w:t>
      </w:r>
      <w:r w:rsidR="00F20A4E" w:rsidRPr="00E67DF6">
        <w:rPr>
          <w:rFonts w:ascii="Times New Roman" w:eastAsia="+mn-ea" w:hAnsi="Times New Roman"/>
          <w:color w:val="000000"/>
          <w:sz w:val="28"/>
          <w:szCs w:val="28"/>
        </w:rPr>
        <w:t>, public policy issues</w:t>
      </w:r>
      <w:r w:rsidRPr="00E67DF6">
        <w:rPr>
          <w:rFonts w:ascii="Times New Roman" w:eastAsia="+mn-ea" w:hAnsi="Times New Roman"/>
          <w:color w:val="000000"/>
          <w:sz w:val="28"/>
          <w:szCs w:val="28"/>
        </w:rPr>
        <w:t xml:space="preserve">) typically factor into the capital budgeting decision. </w:t>
      </w:r>
    </w:p>
    <w:p w:rsidR="00FE1551" w:rsidRPr="00C662E8" w:rsidRDefault="00FE1551" w:rsidP="00FE1551">
      <w:pPr>
        <w:spacing w:before="240"/>
        <w:rPr>
          <w:rFonts w:ascii="Times New Roman" w:hAnsi="Times New Roman"/>
          <w:b/>
          <w:sz w:val="28"/>
        </w:rPr>
      </w:pPr>
      <w:r w:rsidRPr="00C662E8">
        <w:rPr>
          <w:rFonts w:ascii="Times New Roman" w:hAnsi="Times New Roman"/>
          <w:b/>
          <w:sz w:val="28"/>
        </w:rPr>
        <w:t>Cost-Benefit within the Context of Smart Grid</w:t>
      </w:r>
    </w:p>
    <w:p w:rsidR="00FE1551" w:rsidRPr="00DD0AE8" w:rsidRDefault="00FE1551" w:rsidP="00C662E8">
      <w:pPr>
        <w:spacing w:before="240"/>
        <w:rPr>
          <w:rFonts w:ascii="Times New Roman" w:hAnsi="Times New Roman"/>
          <w:sz w:val="28"/>
        </w:rPr>
      </w:pPr>
      <w:r w:rsidRPr="00DD0AE8">
        <w:rPr>
          <w:rFonts w:ascii="Times New Roman" w:hAnsi="Times New Roman"/>
          <w:sz w:val="28"/>
        </w:rPr>
        <w:t xml:space="preserve">Certain challenges arise when attempting to apply traditional cost-benefit analysis to </w:t>
      </w:r>
      <w:r w:rsidR="00933060">
        <w:rPr>
          <w:rFonts w:ascii="Times New Roman" w:hAnsi="Times New Roman"/>
          <w:sz w:val="28"/>
        </w:rPr>
        <w:t>a proposed</w:t>
      </w:r>
      <w:r w:rsidRPr="00DD0AE8">
        <w:rPr>
          <w:rFonts w:ascii="Times New Roman" w:hAnsi="Times New Roman"/>
          <w:sz w:val="28"/>
        </w:rPr>
        <w:t xml:space="preserve"> </w:t>
      </w:r>
      <w:r w:rsidR="00EA1442">
        <w:rPr>
          <w:rFonts w:ascii="Times New Roman" w:hAnsi="Times New Roman"/>
          <w:sz w:val="28"/>
        </w:rPr>
        <w:t>smart grid</w:t>
      </w:r>
      <w:r w:rsidR="00933060">
        <w:rPr>
          <w:rFonts w:ascii="Times New Roman" w:hAnsi="Times New Roman"/>
          <w:sz w:val="28"/>
        </w:rPr>
        <w:t xml:space="preserve"> investment</w:t>
      </w:r>
      <w:r w:rsidRPr="00DD0AE8">
        <w:rPr>
          <w:rFonts w:ascii="Times New Roman" w:hAnsi="Times New Roman"/>
          <w:sz w:val="28"/>
        </w:rPr>
        <w:t xml:space="preserve">.  </w:t>
      </w:r>
      <w:r w:rsidR="009400CC">
        <w:rPr>
          <w:rFonts w:ascii="Times New Roman" w:hAnsi="Times New Roman"/>
          <w:sz w:val="28"/>
        </w:rPr>
        <w:t>S</w:t>
      </w:r>
      <w:r w:rsidRPr="00DD0AE8">
        <w:rPr>
          <w:rFonts w:ascii="Times New Roman" w:hAnsi="Times New Roman"/>
          <w:sz w:val="28"/>
        </w:rPr>
        <w:t xml:space="preserve">ome of </w:t>
      </w:r>
      <w:r w:rsidR="009400CC">
        <w:rPr>
          <w:rFonts w:ascii="Times New Roman" w:hAnsi="Times New Roman"/>
          <w:sz w:val="28"/>
        </w:rPr>
        <w:t>the key ways in which evaluation of</w:t>
      </w:r>
      <w:r w:rsidRPr="00DD0AE8">
        <w:rPr>
          <w:rFonts w:ascii="Times New Roman" w:hAnsi="Times New Roman"/>
          <w:sz w:val="28"/>
        </w:rPr>
        <w:t xml:space="preserve"> </w:t>
      </w:r>
      <w:r w:rsidR="00933060">
        <w:rPr>
          <w:rFonts w:ascii="Times New Roman" w:hAnsi="Times New Roman"/>
          <w:sz w:val="28"/>
        </w:rPr>
        <w:t xml:space="preserve">the costs and benefits of </w:t>
      </w:r>
      <w:r w:rsidR="00EA1442">
        <w:rPr>
          <w:rFonts w:ascii="Times New Roman" w:hAnsi="Times New Roman"/>
          <w:sz w:val="28"/>
        </w:rPr>
        <w:t>smart grid</w:t>
      </w:r>
      <w:r w:rsidRPr="00DD0AE8">
        <w:rPr>
          <w:rFonts w:ascii="Times New Roman" w:hAnsi="Times New Roman"/>
          <w:sz w:val="28"/>
        </w:rPr>
        <w:t xml:space="preserve"> investments can be different from traditional investment analyses</w:t>
      </w:r>
      <w:r w:rsidR="009400CC">
        <w:rPr>
          <w:rFonts w:ascii="Times New Roman" w:hAnsi="Times New Roman"/>
          <w:sz w:val="28"/>
        </w:rPr>
        <w:t xml:space="preserve"> include</w:t>
      </w:r>
      <w:r w:rsidRPr="00DD0AE8">
        <w:rPr>
          <w:rFonts w:ascii="Times New Roman" w:hAnsi="Times New Roman"/>
          <w:sz w:val="28"/>
        </w:rPr>
        <w:t xml:space="preserve">: </w:t>
      </w:r>
    </w:p>
    <w:p w:rsidR="00D328EB" w:rsidRDefault="00FE1551">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All costs and benefits related to </w:t>
      </w:r>
      <w:r w:rsidR="00EA1442">
        <w:rPr>
          <w:rFonts w:ascii="Times New Roman" w:eastAsia="+mn-ea" w:hAnsi="Times New Roman"/>
          <w:color w:val="000000"/>
          <w:sz w:val="28"/>
          <w:szCs w:val="28"/>
        </w:rPr>
        <w:t>smart grid</w:t>
      </w:r>
      <w:r w:rsidRPr="00E67DF6">
        <w:rPr>
          <w:rFonts w:ascii="Times New Roman" w:eastAsia="+mn-ea" w:hAnsi="Times New Roman"/>
          <w:color w:val="000000"/>
          <w:sz w:val="28"/>
          <w:szCs w:val="28"/>
        </w:rPr>
        <w:t xml:space="preserve"> may not be borne </w:t>
      </w:r>
      <w:r w:rsidR="00D019B9" w:rsidRPr="00E67DF6">
        <w:rPr>
          <w:rFonts w:ascii="Times New Roman" w:eastAsia="+mn-ea" w:hAnsi="Times New Roman"/>
          <w:color w:val="000000"/>
          <w:sz w:val="28"/>
          <w:szCs w:val="28"/>
        </w:rPr>
        <w:t xml:space="preserve">or realized </w:t>
      </w:r>
      <w:r w:rsidRPr="00E67DF6">
        <w:rPr>
          <w:rFonts w:ascii="Times New Roman" w:eastAsia="+mn-ea" w:hAnsi="Times New Roman"/>
          <w:color w:val="000000"/>
          <w:sz w:val="28"/>
          <w:szCs w:val="28"/>
        </w:rPr>
        <w:t xml:space="preserve">by the investing entity.  This raises questions such as: should these additional costs and benefits be incorporated into the analysis?  If so, then how (in practice) </w:t>
      </w:r>
      <w:r w:rsidR="00D019B9" w:rsidRPr="00E67DF6">
        <w:rPr>
          <w:rFonts w:ascii="Times New Roman" w:eastAsia="+mn-ea" w:hAnsi="Times New Roman"/>
          <w:color w:val="000000"/>
          <w:sz w:val="28"/>
          <w:szCs w:val="28"/>
        </w:rPr>
        <w:t>this multi-entity perspective</w:t>
      </w:r>
      <w:r w:rsidRPr="00E67DF6">
        <w:rPr>
          <w:rFonts w:ascii="Times New Roman" w:eastAsia="+mn-ea" w:hAnsi="Times New Roman"/>
          <w:color w:val="000000"/>
          <w:sz w:val="28"/>
          <w:szCs w:val="28"/>
        </w:rPr>
        <w:t xml:space="preserve"> be modeled in the analysis?</w:t>
      </w:r>
    </w:p>
    <w:p w:rsidR="00C662E8" w:rsidRPr="00E67DF6" w:rsidRDefault="00C662E8" w:rsidP="00C662E8">
      <w:pPr>
        <w:pStyle w:val="ListParagraph"/>
        <w:kinsoku w:val="0"/>
        <w:overflowPunct w:val="0"/>
        <w:spacing w:after="0"/>
        <w:ind w:left="540"/>
        <w:textAlignment w:val="baseline"/>
        <w:rPr>
          <w:rFonts w:ascii="Times New Roman" w:eastAsia="+mn-ea" w:hAnsi="Times New Roman"/>
          <w:color w:val="000000"/>
          <w:sz w:val="28"/>
          <w:szCs w:val="28"/>
        </w:rPr>
      </w:pPr>
    </w:p>
    <w:p w:rsidR="00456A5E" w:rsidRDefault="00FE1551" w:rsidP="00456A5E">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BC0223">
        <w:rPr>
          <w:rFonts w:ascii="Times New Roman" w:eastAsia="+mn-ea" w:hAnsi="Times New Roman"/>
          <w:color w:val="000000"/>
          <w:sz w:val="28"/>
          <w:szCs w:val="28"/>
        </w:rPr>
        <w:t xml:space="preserve">Uncertainty with respect to the magnitude of benefits is not unique to </w:t>
      </w:r>
      <w:r w:rsidR="00EA1442" w:rsidRPr="00BC0223">
        <w:rPr>
          <w:rFonts w:ascii="Times New Roman" w:eastAsia="+mn-ea" w:hAnsi="Times New Roman"/>
          <w:color w:val="000000"/>
          <w:sz w:val="28"/>
          <w:szCs w:val="28"/>
        </w:rPr>
        <w:t>smart grid</w:t>
      </w:r>
      <w:r w:rsidRPr="00BC0223">
        <w:rPr>
          <w:rFonts w:ascii="Times New Roman" w:eastAsia="+mn-ea" w:hAnsi="Times New Roman"/>
          <w:color w:val="000000"/>
          <w:sz w:val="28"/>
          <w:szCs w:val="28"/>
        </w:rPr>
        <w:t xml:space="preserve">.  However, there are some potential benefits associated with </w:t>
      </w:r>
      <w:r w:rsidR="00EA1442" w:rsidRPr="00BC0223">
        <w:rPr>
          <w:rFonts w:ascii="Times New Roman" w:eastAsia="+mn-ea" w:hAnsi="Times New Roman"/>
          <w:color w:val="000000"/>
          <w:sz w:val="28"/>
          <w:szCs w:val="28"/>
        </w:rPr>
        <w:t>smart grid</w:t>
      </w:r>
      <w:r w:rsidRPr="00BC0223">
        <w:rPr>
          <w:rFonts w:ascii="Times New Roman" w:eastAsia="+mn-ea" w:hAnsi="Times New Roman"/>
          <w:color w:val="000000"/>
          <w:sz w:val="28"/>
          <w:szCs w:val="28"/>
        </w:rPr>
        <w:t xml:space="preserve"> </w:t>
      </w:r>
      <w:r w:rsidR="00974FE0" w:rsidRPr="00BC0223">
        <w:rPr>
          <w:rFonts w:ascii="Times New Roman" w:eastAsia="+mn-ea" w:hAnsi="Times New Roman"/>
          <w:color w:val="000000"/>
          <w:sz w:val="28"/>
          <w:szCs w:val="28"/>
        </w:rPr>
        <w:t>(e.g., reliability</w:t>
      </w:r>
      <w:r w:rsidR="00933060" w:rsidRPr="00BC0223">
        <w:rPr>
          <w:rFonts w:ascii="Times New Roman" w:eastAsia="+mn-ea" w:hAnsi="Times New Roman"/>
          <w:color w:val="000000"/>
          <w:sz w:val="28"/>
          <w:szCs w:val="28"/>
        </w:rPr>
        <w:t xml:space="preserve"> value</w:t>
      </w:r>
      <w:r w:rsidR="00974FE0" w:rsidRPr="00BC0223">
        <w:rPr>
          <w:rFonts w:ascii="Times New Roman" w:eastAsia="+mn-ea" w:hAnsi="Times New Roman"/>
          <w:color w:val="000000"/>
          <w:sz w:val="28"/>
          <w:szCs w:val="28"/>
        </w:rPr>
        <w:t xml:space="preserve">, environmental impact) </w:t>
      </w:r>
      <w:r w:rsidRPr="00BC0223">
        <w:rPr>
          <w:rFonts w:ascii="Times New Roman" w:eastAsia="+mn-ea" w:hAnsi="Times New Roman"/>
          <w:color w:val="000000"/>
          <w:sz w:val="28"/>
          <w:szCs w:val="28"/>
        </w:rPr>
        <w:t xml:space="preserve">that present particularly difficult issues in calculating the level of benefit. </w:t>
      </w:r>
    </w:p>
    <w:p w:rsidR="00FE1551" w:rsidRPr="00DD0AE8" w:rsidRDefault="00FE1551" w:rsidP="00C662E8">
      <w:pPr>
        <w:spacing w:before="240"/>
        <w:rPr>
          <w:rFonts w:ascii="Times New Roman" w:hAnsi="Times New Roman"/>
          <w:sz w:val="28"/>
        </w:rPr>
      </w:pPr>
      <w:r w:rsidRPr="00BC0223">
        <w:rPr>
          <w:rFonts w:ascii="Times New Roman" w:hAnsi="Times New Roman"/>
          <w:sz w:val="28"/>
        </w:rPr>
        <w:t xml:space="preserve">Over the past few years, there have been various models and constructs put forth related to evaluating </w:t>
      </w:r>
      <w:r w:rsidR="00EA1442" w:rsidRPr="00BC0223">
        <w:rPr>
          <w:rFonts w:ascii="Times New Roman" w:hAnsi="Times New Roman"/>
          <w:sz w:val="28"/>
        </w:rPr>
        <w:t>smart grid</w:t>
      </w:r>
      <w:r w:rsidRPr="00BC0223">
        <w:rPr>
          <w:rFonts w:ascii="Times New Roman" w:hAnsi="Times New Roman"/>
          <w:sz w:val="28"/>
        </w:rPr>
        <w:t xml:space="preserve"> investments.  A review of several of the most prominent revealed that there was no single reference that adequately addressed all of the concerns </w:t>
      </w:r>
      <w:r w:rsidR="00933060" w:rsidRPr="00BC0223">
        <w:rPr>
          <w:rFonts w:ascii="Times New Roman" w:hAnsi="Times New Roman"/>
          <w:sz w:val="28"/>
        </w:rPr>
        <w:t xml:space="preserve">identified </w:t>
      </w:r>
      <w:r w:rsidRPr="00BC0223">
        <w:rPr>
          <w:rFonts w:ascii="Times New Roman" w:hAnsi="Times New Roman"/>
          <w:sz w:val="28"/>
        </w:rPr>
        <w:t xml:space="preserve">within the scope of the </w:t>
      </w:r>
      <w:r w:rsidR="00974FE0" w:rsidRPr="00BC0223">
        <w:rPr>
          <w:rFonts w:ascii="Times New Roman" w:hAnsi="Times New Roman"/>
          <w:sz w:val="28"/>
        </w:rPr>
        <w:t>ISSGC cost-benefit framework</w:t>
      </w:r>
      <w:r w:rsidRPr="00BC0223">
        <w:rPr>
          <w:rFonts w:ascii="Times New Roman" w:hAnsi="Times New Roman"/>
          <w:sz w:val="28"/>
        </w:rPr>
        <w:t>.  However, t</w:t>
      </w:r>
      <w:r w:rsidR="009400CC" w:rsidRPr="00BC0223">
        <w:rPr>
          <w:rFonts w:ascii="Times New Roman" w:hAnsi="Times New Roman"/>
          <w:sz w:val="28"/>
        </w:rPr>
        <w:t>he following references as</w:t>
      </w:r>
      <w:r w:rsidRPr="00BC0223">
        <w:rPr>
          <w:rFonts w:ascii="Times New Roman" w:hAnsi="Times New Roman"/>
          <w:sz w:val="28"/>
        </w:rPr>
        <w:t xml:space="preserve"> well as other relevant state regulatory </w:t>
      </w:r>
      <w:r w:rsidRPr="00BC0223">
        <w:rPr>
          <w:rFonts w:ascii="Times New Roman" w:hAnsi="Times New Roman"/>
          <w:sz w:val="28"/>
        </w:rPr>
        <w:lastRenderedPageBreak/>
        <w:t xml:space="preserve">decisions that have addressed these and other similar issues can provide considerable insight into </w:t>
      </w:r>
      <w:r w:rsidR="00EA1442" w:rsidRPr="00BC0223">
        <w:rPr>
          <w:rFonts w:ascii="Times New Roman" w:hAnsi="Times New Roman"/>
          <w:sz w:val="28"/>
        </w:rPr>
        <w:t>smart grid</w:t>
      </w:r>
      <w:r w:rsidRPr="00BC0223">
        <w:rPr>
          <w:rFonts w:ascii="Times New Roman" w:hAnsi="Times New Roman"/>
          <w:sz w:val="28"/>
        </w:rPr>
        <w:t xml:space="preserve"> </w:t>
      </w:r>
      <w:r w:rsidR="00933060" w:rsidRPr="00BC0223">
        <w:rPr>
          <w:rFonts w:ascii="Times New Roman" w:hAnsi="Times New Roman"/>
          <w:sz w:val="28"/>
        </w:rPr>
        <w:t xml:space="preserve">cost-benefit analysis </w:t>
      </w:r>
      <w:r w:rsidRPr="00BC0223">
        <w:rPr>
          <w:rFonts w:ascii="Times New Roman" w:hAnsi="Times New Roman"/>
          <w:sz w:val="28"/>
        </w:rPr>
        <w:t xml:space="preserve">and are worthy of note. </w:t>
      </w:r>
    </w:p>
    <w:p w:rsidR="00D328EB" w:rsidRDefault="00FE1551">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EPRI published a report in January 2010 on an approach for evaluating the DOE’s Smart Grid Demonstration Projects.</w:t>
      </w:r>
      <w:r w:rsidRPr="00C662E8">
        <w:rPr>
          <w:rFonts w:ascii="Times New Roman" w:eastAsia="+mn-ea" w:hAnsi="Times New Roman"/>
          <w:color w:val="000000"/>
          <w:sz w:val="28"/>
          <w:szCs w:val="28"/>
          <w:vertAlign w:val="superscript"/>
        </w:rPr>
        <w:footnoteReference w:id="1"/>
      </w:r>
      <w:r w:rsidRPr="00E67DF6">
        <w:rPr>
          <w:rFonts w:ascii="Times New Roman" w:eastAsia="+mn-ea" w:hAnsi="Times New Roman"/>
          <w:color w:val="000000"/>
          <w:sz w:val="28"/>
          <w:szCs w:val="28"/>
        </w:rPr>
        <w:t xml:space="preserve">  It leverages many studies that have been performed previously and represents the most comprehensive approach to </w:t>
      </w:r>
      <w:r w:rsidR="00EB6A36">
        <w:rPr>
          <w:rFonts w:ascii="Times New Roman" w:eastAsia="+mn-ea" w:hAnsi="Times New Roman"/>
          <w:color w:val="000000"/>
          <w:sz w:val="28"/>
          <w:szCs w:val="28"/>
        </w:rPr>
        <w:t>smart grid</w:t>
      </w:r>
      <w:r w:rsidRPr="00E67DF6">
        <w:rPr>
          <w:rFonts w:ascii="Times New Roman" w:eastAsia="+mn-ea" w:hAnsi="Times New Roman"/>
          <w:color w:val="000000"/>
          <w:sz w:val="28"/>
          <w:szCs w:val="28"/>
        </w:rPr>
        <w:t xml:space="preserve"> </w:t>
      </w:r>
      <w:r w:rsidR="00933060">
        <w:rPr>
          <w:rFonts w:ascii="Times New Roman" w:eastAsia="+mn-ea" w:hAnsi="Times New Roman"/>
          <w:color w:val="000000"/>
          <w:sz w:val="28"/>
          <w:szCs w:val="28"/>
        </w:rPr>
        <w:t>cost-benefit analysis</w:t>
      </w:r>
      <w:r w:rsidR="00933060" w:rsidRPr="00E67DF6">
        <w:rPr>
          <w:rFonts w:ascii="Times New Roman" w:eastAsia="+mn-ea" w:hAnsi="Times New Roman"/>
          <w:color w:val="000000"/>
          <w:sz w:val="28"/>
          <w:szCs w:val="28"/>
        </w:rPr>
        <w:t xml:space="preserve"> </w:t>
      </w:r>
      <w:r w:rsidRPr="00E67DF6">
        <w:rPr>
          <w:rFonts w:ascii="Times New Roman" w:eastAsia="+mn-ea" w:hAnsi="Times New Roman"/>
          <w:color w:val="000000"/>
          <w:sz w:val="28"/>
          <w:szCs w:val="28"/>
        </w:rPr>
        <w:t xml:space="preserve">put forth to date. The ten-step approach outlined in the report can be applied generically to most </w:t>
      </w:r>
      <w:r w:rsidR="00EB6A36">
        <w:rPr>
          <w:rFonts w:ascii="Times New Roman" w:eastAsia="+mn-ea" w:hAnsi="Times New Roman"/>
          <w:color w:val="000000"/>
          <w:sz w:val="28"/>
          <w:szCs w:val="28"/>
        </w:rPr>
        <w:t>smart grid</w:t>
      </w:r>
      <w:r w:rsidRPr="00E67DF6">
        <w:rPr>
          <w:rFonts w:ascii="Times New Roman" w:eastAsia="+mn-ea" w:hAnsi="Times New Roman"/>
          <w:color w:val="000000"/>
          <w:sz w:val="28"/>
          <w:szCs w:val="28"/>
        </w:rPr>
        <w:t xml:space="preserve"> investments, but the discussion within each of the steps focuses on issues specific to </w:t>
      </w:r>
      <w:r w:rsidR="00EB6A36">
        <w:rPr>
          <w:rFonts w:ascii="Times New Roman" w:eastAsia="+mn-ea" w:hAnsi="Times New Roman"/>
          <w:color w:val="000000"/>
          <w:sz w:val="28"/>
          <w:szCs w:val="28"/>
        </w:rPr>
        <w:t>smart grid</w:t>
      </w:r>
      <w:r w:rsidRPr="00E67DF6">
        <w:rPr>
          <w:rFonts w:ascii="Times New Roman" w:eastAsia="+mn-ea" w:hAnsi="Times New Roman"/>
          <w:color w:val="000000"/>
          <w:sz w:val="28"/>
          <w:szCs w:val="28"/>
        </w:rPr>
        <w:t>.  The ten steps are organized into three groups as follows:</w:t>
      </w:r>
    </w:p>
    <w:p w:rsidR="00D328EB" w:rsidRDefault="00FE1551">
      <w:pPr>
        <w:numPr>
          <w:ilvl w:val="4"/>
          <w:numId w:val="4"/>
        </w:numPr>
        <w:spacing w:before="240"/>
        <w:rPr>
          <w:rFonts w:ascii="Times New Roman" w:hAnsi="Times New Roman"/>
          <w:sz w:val="28"/>
        </w:rPr>
      </w:pPr>
      <w:r w:rsidRPr="009400CC">
        <w:rPr>
          <w:rFonts w:ascii="Times New Roman" w:hAnsi="Times New Roman"/>
          <w:sz w:val="28"/>
        </w:rPr>
        <w:t>Characterize the Project:</w:t>
      </w:r>
      <w:r w:rsidR="009400CC">
        <w:rPr>
          <w:rFonts w:ascii="Times New Roman" w:hAnsi="Times New Roman"/>
          <w:sz w:val="28"/>
        </w:rPr>
        <w:t xml:space="preserve">  r</w:t>
      </w:r>
      <w:r w:rsidRPr="009400CC">
        <w:rPr>
          <w:rFonts w:ascii="Times New Roman" w:hAnsi="Times New Roman"/>
          <w:sz w:val="28"/>
        </w:rPr>
        <w:t xml:space="preserve">eview </w:t>
      </w:r>
      <w:r w:rsidR="009400CC">
        <w:rPr>
          <w:rFonts w:ascii="Times New Roman" w:hAnsi="Times New Roman"/>
          <w:sz w:val="28"/>
        </w:rPr>
        <w:t>project e</w:t>
      </w:r>
      <w:r w:rsidRPr="009400CC">
        <w:rPr>
          <w:rFonts w:ascii="Times New Roman" w:hAnsi="Times New Roman"/>
          <w:sz w:val="28"/>
        </w:rPr>
        <w:t>lements</w:t>
      </w:r>
      <w:r w:rsidR="009400CC">
        <w:rPr>
          <w:rFonts w:ascii="Times New Roman" w:hAnsi="Times New Roman"/>
          <w:sz w:val="28"/>
        </w:rPr>
        <w:t>; i</w:t>
      </w:r>
      <w:r w:rsidRPr="009400CC">
        <w:rPr>
          <w:rFonts w:ascii="Times New Roman" w:hAnsi="Times New Roman"/>
          <w:sz w:val="28"/>
        </w:rPr>
        <w:t xml:space="preserve">dentify </w:t>
      </w:r>
      <w:r w:rsidR="00EB6A36" w:rsidRPr="009400CC">
        <w:rPr>
          <w:rFonts w:ascii="Times New Roman" w:hAnsi="Times New Roman"/>
          <w:sz w:val="28"/>
        </w:rPr>
        <w:t>smart grid</w:t>
      </w:r>
      <w:r w:rsidRPr="009400CC">
        <w:rPr>
          <w:rFonts w:ascii="Times New Roman" w:hAnsi="Times New Roman"/>
          <w:sz w:val="28"/>
        </w:rPr>
        <w:t xml:space="preserve"> </w:t>
      </w:r>
      <w:r w:rsidR="009400CC">
        <w:rPr>
          <w:rFonts w:ascii="Times New Roman" w:hAnsi="Times New Roman"/>
          <w:sz w:val="28"/>
        </w:rPr>
        <w:t>f</w:t>
      </w:r>
      <w:r w:rsidRPr="009400CC">
        <w:rPr>
          <w:rFonts w:ascii="Times New Roman" w:hAnsi="Times New Roman"/>
          <w:sz w:val="28"/>
        </w:rPr>
        <w:t xml:space="preserve">unctions </w:t>
      </w:r>
      <w:r w:rsidR="009400CC">
        <w:rPr>
          <w:rFonts w:ascii="Times New Roman" w:hAnsi="Times New Roman"/>
          <w:sz w:val="28"/>
        </w:rPr>
        <w:t>associated with the project; a</w:t>
      </w:r>
      <w:r w:rsidRPr="009400CC">
        <w:rPr>
          <w:rFonts w:ascii="Times New Roman" w:hAnsi="Times New Roman"/>
          <w:sz w:val="28"/>
        </w:rPr>
        <w:t xml:space="preserve">ssess the </w:t>
      </w:r>
      <w:r w:rsidR="009400CC">
        <w:rPr>
          <w:rFonts w:ascii="Times New Roman" w:hAnsi="Times New Roman"/>
          <w:sz w:val="28"/>
        </w:rPr>
        <w:t>c</w:t>
      </w:r>
      <w:r w:rsidRPr="009400CC">
        <w:rPr>
          <w:rFonts w:ascii="Times New Roman" w:hAnsi="Times New Roman"/>
          <w:sz w:val="28"/>
        </w:rPr>
        <w:t>haracteristics that are reflected in the project;</w:t>
      </w:r>
    </w:p>
    <w:p w:rsidR="00D328EB" w:rsidRDefault="00FE1551">
      <w:pPr>
        <w:numPr>
          <w:ilvl w:val="4"/>
          <w:numId w:val="4"/>
        </w:numPr>
        <w:spacing w:before="240"/>
        <w:rPr>
          <w:rFonts w:ascii="Times New Roman" w:hAnsi="Times New Roman"/>
          <w:sz w:val="28"/>
        </w:rPr>
      </w:pPr>
      <w:r w:rsidRPr="009400CC">
        <w:rPr>
          <w:rFonts w:ascii="Times New Roman" w:hAnsi="Times New Roman"/>
          <w:sz w:val="28"/>
        </w:rPr>
        <w:t>Estimate Benefits:</w:t>
      </w:r>
      <w:r w:rsidR="009400CC">
        <w:rPr>
          <w:rFonts w:ascii="Times New Roman" w:hAnsi="Times New Roman"/>
          <w:sz w:val="28"/>
        </w:rPr>
        <w:t xml:space="preserve">  m</w:t>
      </w:r>
      <w:r w:rsidRPr="009400CC">
        <w:rPr>
          <w:rFonts w:ascii="Times New Roman" w:hAnsi="Times New Roman"/>
          <w:sz w:val="28"/>
        </w:rPr>
        <w:t xml:space="preserve">ap each function onto a standard set of </w:t>
      </w:r>
      <w:r w:rsidR="009400CC">
        <w:rPr>
          <w:rFonts w:ascii="Times New Roman" w:hAnsi="Times New Roman"/>
          <w:sz w:val="28"/>
        </w:rPr>
        <w:t>b</w:t>
      </w:r>
      <w:r w:rsidRPr="009400CC">
        <w:rPr>
          <w:rFonts w:ascii="Times New Roman" w:hAnsi="Times New Roman"/>
          <w:sz w:val="28"/>
        </w:rPr>
        <w:t>enefits</w:t>
      </w:r>
      <w:r w:rsidR="009400CC">
        <w:rPr>
          <w:rFonts w:ascii="Times New Roman" w:hAnsi="Times New Roman"/>
          <w:sz w:val="28"/>
        </w:rPr>
        <w:t>; d</w:t>
      </w:r>
      <w:r w:rsidRPr="009400CC">
        <w:rPr>
          <w:rFonts w:ascii="Times New Roman" w:hAnsi="Times New Roman"/>
          <w:sz w:val="28"/>
        </w:rPr>
        <w:t xml:space="preserve">efine the project </w:t>
      </w:r>
      <w:r w:rsidR="009400CC">
        <w:rPr>
          <w:rFonts w:ascii="Times New Roman" w:hAnsi="Times New Roman"/>
          <w:sz w:val="28"/>
        </w:rPr>
        <w:t>b</w:t>
      </w:r>
      <w:r w:rsidRPr="009400CC">
        <w:rPr>
          <w:rFonts w:ascii="Times New Roman" w:hAnsi="Times New Roman"/>
          <w:sz w:val="28"/>
        </w:rPr>
        <w:t>aseline</w:t>
      </w:r>
      <w:r w:rsidR="009400CC">
        <w:rPr>
          <w:rFonts w:ascii="Times New Roman" w:hAnsi="Times New Roman"/>
          <w:sz w:val="28"/>
        </w:rPr>
        <w:t xml:space="preserve"> and how it will be estimated; i</w:t>
      </w:r>
      <w:r w:rsidRPr="009400CC">
        <w:rPr>
          <w:rFonts w:ascii="Times New Roman" w:hAnsi="Times New Roman"/>
          <w:sz w:val="28"/>
        </w:rPr>
        <w:t xml:space="preserve">dentify and obtain the </w:t>
      </w:r>
      <w:r w:rsidR="009400CC">
        <w:rPr>
          <w:rFonts w:ascii="Times New Roman" w:hAnsi="Times New Roman"/>
          <w:sz w:val="28"/>
        </w:rPr>
        <w:t>d</w:t>
      </w:r>
      <w:r w:rsidRPr="009400CC">
        <w:rPr>
          <w:rFonts w:ascii="Times New Roman" w:hAnsi="Times New Roman"/>
          <w:sz w:val="28"/>
        </w:rPr>
        <w:t xml:space="preserve">ata necessary; </w:t>
      </w:r>
      <w:r w:rsidR="009400CC">
        <w:rPr>
          <w:rFonts w:ascii="Times New Roman" w:hAnsi="Times New Roman"/>
          <w:sz w:val="28"/>
        </w:rPr>
        <w:t>q</w:t>
      </w:r>
      <w:r w:rsidRPr="009400CC">
        <w:rPr>
          <w:rFonts w:ascii="Times New Roman" w:hAnsi="Times New Roman"/>
          <w:sz w:val="28"/>
        </w:rPr>
        <w:t xml:space="preserve">uantify the estimated benefits; </w:t>
      </w:r>
      <w:r w:rsidR="009400CC">
        <w:rPr>
          <w:rFonts w:ascii="Times New Roman" w:hAnsi="Times New Roman"/>
          <w:sz w:val="28"/>
        </w:rPr>
        <w:t>c</w:t>
      </w:r>
      <w:r w:rsidRPr="009400CC">
        <w:rPr>
          <w:rFonts w:ascii="Times New Roman" w:hAnsi="Times New Roman"/>
          <w:sz w:val="28"/>
        </w:rPr>
        <w:t xml:space="preserve">onvert the benefit estimates to </w:t>
      </w:r>
      <w:r w:rsidR="009400CC">
        <w:rPr>
          <w:rFonts w:ascii="Times New Roman" w:hAnsi="Times New Roman"/>
          <w:sz w:val="28"/>
        </w:rPr>
        <w:t>m</w:t>
      </w:r>
      <w:r w:rsidRPr="009400CC">
        <w:rPr>
          <w:rFonts w:ascii="Times New Roman" w:hAnsi="Times New Roman"/>
          <w:sz w:val="28"/>
        </w:rPr>
        <w:t>onetize the values;</w:t>
      </w:r>
    </w:p>
    <w:p w:rsidR="00D328EB" w:rsidRDefault="00FE1551">
      <w:pPr>
        <w:numPr>
          <w:ilvl w:val="4"/>
          <w:numId w:val="4"/>
        </w:numPr>
        <w:spacing w:before="240"/>
        <w:rPr>
          <w:rFonts w:ascii="Times New Roman" w:hAnsi="Times New Roman"/>
          <w:sz w:val="28"/>
        </w:rPr>
      </w:pPr>
      <w:r w:rsidRPr="009400CC">
        <w:rPr>
          <w:rFonts w:ascii="Times New Roman" w:hAnsi="Times New Roman"/>
          <w:sz w:val="28"/>
        </w:rPr>
        <w:t>Compare Costs to Benefits</w:t>
      </w:r>
      <w:r w:rsidR="009400CC">
        <w:rPr>
          <w:rFonts w:ascii="Times New Roman" w:hAnsi="Times New Roman"/>
          <w:sz w:val="28"/>
        </w:rPr>
        <w:t>:  e</w:t>
      </w:r>
      <w:r w:rsidRPr="009400CC">
        <w:rPr>
          <w:rFonts w:ascii="Times New Roman" w:hAnsi="Times New Roman"/>
          <w:sz w:val="28"/>
        </w:rPr>
        <w:t xml:space="preserve">stimate the relevant </w:t>
      </w:r>
      <w:r w:rsidR="009400CC">
        <w:rPr>
          <w:rFonts w:ascii="Times New Roman" w:hAnsi="Times New Roman"/>
          <w:sz w:val="28"/>
        </w:rPr>
        <w:t>c</w:t>
      </w:r>
      <w:r w:rsidRPr="009400CC">
        <w:rPr>
          <w:rFonts w:ascii="Times New Roman" w:hAnsi="Times New Roman"/>
          <w:sz w:val="28"/>
        </w:rPr>
        <w:t>osts</w:t>
      </w:r>
      <w:r w:rsidR="009400CC">
        <w:rPr>
          <w:rFonts w:ascii="Times New Roman" w:hAnsi="Times New Roman"/>
          <w:sz w:val="28"/>
        </w:rPr>
        <w:t>; c</w:t>
      </w:r>
      <w:r w:rsidRPr="009400CC">
        <w:rPr>
          <w:rFonts w:ascii="Times New Roman" w:hAnsi="Times New Roman"/>
          <w:sz w:val="28"/>
        </w:rPr>
        <w:t xml:space="preserve">ompare costs to benefits and summarize the </w:t>
      </w:r>
      <w:r w:rsidR="009400CC">
        <w:rPr>
          <w:rFonts w:ascii="Times New Roman" w:hAnsi="Times New Roman"/>
          <w:sz w:val="28"/>
        </w:rPr>
        <w:t>cost-b</w:t>
      </w:r>
      <w:r w:rsidRPr="009400CC">
        <w:rPr>
          <w:rFonts w:ascii="Times New Roman" w:hAnsi="Times New Roman"/>
          <w:sz w:val="28"/>
        </w:rPr>
        <w:t>enefit.</w:t>
      </w:r>
    </w:p>
    <w:p w:rsidR="00D328EB" w:rsidRDefault="00FE1551">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DD0AE8" w:rsidDel="00E34257">
        <w:rPr>
          <w:rFonts w:ascii="Times New Roman" w:hAnsi="Times New Roman"/>
          <w:sz w:val="28"/>
        </w:rPr>
        <w:t xml:space="preserve"> </w:t>
      </w:r>
      <w:r w:rsidRPr="00E67DF6">
        <w:rPr>
          <w:rFonts w:ascii="Times New Roman" w:eastAsia="+mn-ea" w:hAnsi="Times New Roman"/>
          <w:color w:val="000000"/>
          <w:sz w:val="28"/>
          <w:szCs w:val="28"/>
        </w:rPr>
        <w:t xml:space="preserve">Several other studies and reports address specific aspects of </w:t>
      </w:r>
      <w:r w:rsidR="00EB6A36">
        <w:rPr>
          <w:rFonts w:ascii="Times New Roman" w:eastAsia="+mn-ea" w:hAnsi="Times New Roman"/>
          <w:color w:val="000000"/>
          <w:sz w:val="28"/>
          <w:szCs w:val="28"/>
        </w:rPr>
        <w:t>smart grid</w:t>
      </w:r>
      <w:r w:rsidRPr="00E67DF6">
        <w:rPr>
          <w:rFonts w:ascii="Times New Roman" w:eastAsia="+mn-ea" w:hAnsi="Times New Roman"/>
          <w:color w:val="000000"/>
          <w:sz w:val="28"/>
          <w:szCs w:val="28"/>
        </w:rPr>
        <w:t xml:space="preserve"> analysis.  Each of the following is particularly useful within its respective scope:</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 xml:space="preserve">McKinsey &amp; Company developed a spreadsheet model for </w:t>
      </w:r>
      <w:r w:rsidR="00933060">
        <w:rPr>
          <w:rFonts w:ascii="Times New Roman" w:hAnsi="Times New Roman"/>
          <w:sz w:val="28"/>
        </w:rPr>
        <w:t>comparing the costs and benefits of</w:t>
      </w:r>
      <w:r w:rsidRPr="00DD0AE8">
        <w:rPr>
          <w:rFonts w:ascii="Times New Roman" w:hAnsi="Times New Roman"/>
          <w:sz w:val="28"/>
        </w:rPr>
        <w:t xml:space="preserve"> AMI and made it available to energy providers, regulatory commissions, customer advocacy groups, and AMI vendors in August 2006 to assist in analyzing AMI deployments.</w:t>
      </w:r>
      <w:r w:rsidRPr="00C662E8">
        <w:rPr>
          <w:rFonts w:ascii="Times New Roman" w:eastAsia="+mn-ea" w:hAnsi="Times New Roman"/>
          <w:color w:val="000000"/>
          <w:sz w:val="28"/>
          <w:szCs w:val="28"/>
          <w:vertAlign w:val="superscript"/>
        </w:rPr>
        <w:footnoteReference w:id="2"/>
      </w:r>
      <w:r w:rsidRPr="00DD0AE8">
        <w:rPr>
          <w:rFonts w:ascii="Times New Roman" w:hAnsi="Times New Roman"/>
          <w:sz w:val="28"/>
        </w:rPr>
        <w:t xml:space="preserve">  The model captures user inputs regarding the expected </w:t>
      </w:r>
      <w:r w:rsidRPr="00DD0AE8">
        <w:rPr>
          <w:rFonts w:ascii="Times New Roman" w:hAnsi="Times New Roman"/>
          <w:sz w:val="28"/>
        </w:rPr>
        <w:lastRenderedPageBreak/>
        <w:t xml:space="preserve">capital costs and utility O&amp;M savings and calculates the resulting cash flows, NPV, and IRR.  While useful in tracking costs and benefits for operational impacts in the AMI context, it is not directly applicable to many </w:t>
      </w:r>
      <w:r w:rsidR="00EB6A36">
        <w:rPr>
          <w:rFonts w:ascii="Times New Roman" w:hAnsi="Times New Roman"/>
          <w:sz w:val="28"/>
        </w:rPr>
        <w:t>smart grid</w:t>
      </w:r>
      <w:r w:rsidRPr="00DD0AE8">
        <w:rPr>
          <w:rFonts w:ascii="Times New Roman" w:hAnsi="Times New Roman"/>
          <w:sz w:val="28"/>
        </w:rPr>
        <w:t xml:space="preserve"> applications, since it does not incorporate costs or benefits associated with demand response, reliability, or societal benefits. </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California Energy Commission sponsored study on the value of distribution automation.</w:t>
      </w:r>
      <w:r w:rsidRPr="00C662E8">
        <w:rPr>
          <w:rFonts w:ascii="Times New Roman" w:eastAsia="+mn-ea" w:hAnsi="Times New Roman"/>
          <w:color w:val="000000"/>
          <w:sz w:val="28"/>
          <w:szCs w:val="28"/>
          <w:vertAlign w:val="superscript"/>
        </w:rPr>
        <w:footnoteReference w:id="3"/>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 xml:space="preserve">EPRI </w:t>
      </w:r>
      <w:r w:rsidR="00933060">
        <w:rPr>
          <w:rFonts w:ascii="Times New Roman" w:hAnsi="Times New Roman"/>
          <w:sz w:val="28"/>
        </w:rPr>
        <w:t xml:space="preserve">published a </w:t>
      </w:r>
      <w:r w:rsidRPr="00DD0AE8">
        <w:rPr>
          <w:rFonts w:ascii="Times New Roman" w:hAnsi="Times New Roman"/>
          <w:sz w:val="28"/>
        </w:rPr>
        <w:t>report on societal benefits of smart metering.</w:t>
      </w:r>
      <w:r w:rsidRPr="00C662E8">
        <w:rPr>
          <w:rFonts w:ascii="Times New Roman" w:eastAsia="+mn-ea" w:hAnsi="Times New Roman"/>
          <w:color w:val="000000"/>
          <w:sz w:val="28"/>
          <w:szCs w:val="28"/>
          <w:vertAlign w:val="superscript"/>
        </w:rPr>
        <w:footnoteReference w:id="4"/>
      </w:r>
      <w:r w:rsidRPr="00DD0AE8">
        <w:rPr>
          <w:rFonts w:ascii="Times New Roman" w:hAnsi="Times New Roman"/>
          <w:sz w:val="28"/>
        </w:rPr>
        <w:t xml:space="preserve">   </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 xml:space="preserve">Lawrence Berkeley National Laboratory published </w:t>
      </w:r>
      <w:r w:rsidR="00933060">
        <w:rPr>
          <w:rFonts w:ascii="Times New Roman" w:hAnsi="Times New Roman"/>
          <w:sz w:val="28"/>
        </w:rPr>
        <w:t xml:space="preserve">a </w:t>
      </w:r>
      <w:r w:rsidRPr="00DD0AE8">
        <w:rPr>
          <w:rFonts w:ascii="Times New Roman" w:hAnsi="Times New Roman"/>
          <w:sz w:val="28"/>
        </w:rPr>
        <w:t>report for the DOE’s Office of Electricity Delivery and Energy Reliability on the value of service reliability.</w:t>
      </w:r>
      <w:r w:rsidRPr="00C662E8">
        <w:rPr>
          <w:rFonts w:ascii="Times New Roman" w:eastAsia="+mn-ea" w:hAnsi="Times New Roman"/>
          <w:color w:val="000000"/>
          <w:sz w:val="28"/>
          <w:szCs w:val="28"/>
          <w:vertAlign w:val="superscript"/>
        </w:rPr>
        <w:footnoteReference w:id="5"/>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 xml:space="preserve">Brattle Group published </w:t>
      </w:r>
      <w:r w:rsidR="00F90DCD">
        <w:rPr>
          <w:rFonts w:ascii="Times New Roman" w:hAnsi="Times New Roman"/>
          <w:sz w:val="28"/>
        </w:rPr>
        <w:t xml:space="preserve">a </w:t>
      </w:r>
      <w:r w:rsidRPr="00DD0AE8">
        <w:rPr>
          <w:rFonts w:ascii="Times New Roman" w:hAnsi="Times New Roman"/>
          <w:sz w:val="28"/>
        </w:rPr>
        <w:t>report for PJM and the Mid-Atlantic Distributed Resources Initiative (MADRI) on quantifying demand response benefits in PJM.</w:t>
      </w:r>
      <w:r w:rsidRPr="00C662E8">
        <w:rPr>
          <w:rFonts w:ascii="Times New Roman" w:eastAsia="+mn-ea" w:hAnsi="Times New Roman"/>
          <w:color w:val="000000"/>
          <w:sz w:val="28"/>
          <w:szCs w:val="28"/>
          <w:vertAlign w:val="superscript"/>
        </w:rPr>
        <w:footnoteReference w:id="6"/>
      </w:r>
    </w:p>
    <w:p w:rsidR="00D328EB" w:rsidRDefault="00FE1551">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The following four sections describe </w:t>
      </w:r>
      <w:r w:rsidR="00F90DCD">
        <w:rPr>
          <w:rFonts w:ascii="Times New Roman" w:eastAsia="+mn-ea" w:hAnsi="Times New Roman"/>
          <w:color w:val="000000"/>
          <w:sz w:val="28"/>
          <w:szCs w:val="28"/>
        </w:rPr>
        <w:t>the Collaborative’s</w:t>
      </w:r>
      <w:r w:rsidRPr="00E67DF6">
        <w:rPr>
          <w:rFonts w:ascii="Times New Roman" w:eastAsia="+mn-ea" w:hAnsi="Times New Roman"/>
          <w:color w:val="000000"/>
          <w:sz w:val="28"/>
          <w:szCs w:val="28"/>
        </w:rPr>
        <w:t xml:space="preserve"> recommended Cost-Benefit Framework for </w:t>
      </w:r>
      <w:r w:rsidR="00EB6A36">
        <w:rPr>
          <w:rFonts w:ascii="Times New Roman" w:eastAsia="+mn-ea" w:hAnsi="Times New Roman"/>
          <w:color w:val="000000"/>
          <w:sz w:val="28"/>
          <w:szCs w:val="28"/>
        </w:rPr>
        <w:t>smart grid</w:t>
      </w:r>
      <w:r w:rsidRPr="00E67DF6">
        <w:rPr>
          <w:rFonts w:ascii="Times New Roman" w:eastAsia="+mn-ea" w:hAnsi="Times New Roman"/>
          <w:color w:val="000000"/>
          <w:sz w:val="28"/>
          <w:szCs w:val="28"/>
        </w:rPr>
        <w:t xml:space="preserve"> investments and provide related recommendations on the use of the Cost-Benefit Framework</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Elements of the Framework and General Requirements</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Cost-Benefit Analysis Mechanics and Assumptions</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lastRenderedPageBreak/>
        <w:t>Quantification and Monetization of Costs and Benefits</w:t>
      </w:r>
    </w:p>
    <w:p w:rsidR="00D328EB" w:rsidRDefault="00FE1551">
      <w:pPr>
        <w:numPr>
          <w:ilvl w:val="2"/>
          <w:numId w:val="3"/>
        </w:numPr>
        <w:tabs>
          <w:tab w:val="left" w:pos="1440"/>
        </w:tabs>
        <w:spacing w:before="240"/>
        <w:ind w:left="1440" w:hanging="270"/>
        <w:rPr>
          <w:rFonts w:ascii="Times New Roman" w:hAnsi="Times New Roman"/>
          <w:sz w:val="28"/>
        </w:rPr>
      </w:pPr>
      <w:r w:rsidRPr="00DD0AE8">
        <w:rPr>
          <w:rFonts w:ascii="Times New Roman" w:hAnsi="Times New Roman"/>
          <w:sz w:val="28"/>
        </w:rPr>
        <w:t>Monitoring and Verification of Results</w:t>
      </w:r>
    </w:p>
    <w:p w:rsidR="007E1617" w:rsidRPr="000F2E7D" w:rsidRDefault="007E1617">
      <w:pPr>
        <w:spacing w:after="0" w:line="240" w:lineRule="auto"/>
        <w:jc w:val="center"/>
        <w:rPr>
          <w:rFonts w:ascii="Times New Roman" w:hAnsi="Times New Roman"/>
          <w:sz w:val="24"/>
        </w:rPr>
      </w:pPr>
      <w:r w:rsidRPr="00DD0AE8">
        <w:rPr>
          <w:rFonts w:ascii="Times New Roman" w:hAnsi="Times New Roman"/>
          <w:sz w:val="28"/>
        </w:rPr>
        <w:br w:type="page"/>
      </w:r>
      <w:r w:rsidRPr="000F2E7D">
        <w:rPr>
          <w:rFonts w:ascii="Times New Roman" w:hAnsi="Times New Roman"/>
          <w:b/>
          <w:sz w:val="36"/>
        </w:rPr>
        <w:lastRenderedPageBreak/>
        <w:t>Elements of the Framework and General Requirements</w:t>
      </w:r>
    </w:p>
    <w:p w:rsidR="007E1617" w:rsidRPr="00DD0AE8" w:rsidRDefault="007E1617">
      <w:pPr>
        <w:spacing w:before="240"/>
        <w:rPr>
          <w:rFonts w:ascii="Times New Roman" w:hAnsi="Times New Roman"/>
          <w:sz w:val="28"/>
        </w:rPr>
      </w:pPr>
      <w:r w:rsidRPr="00DD0AE8">
        <w:rPr>
          <w:rFonts w:ascii="Times New Roman" w:hAnsi="Times New Roman"/>
          <w:sz w:val="28"/>
        </w:rPr>
        <w:t xml:space="preserve">This section describes the overall structure of </w:t>
      </w:r>
      <w:r w:rsidR="00F90DCD">
        <w:rPr>
          <w:rFonts w:ascii="Times New Roman" w:hAnsi="Times New Roman"/>
          <w:sz w:val="28"/>
        </w:rPr>
        <w:t>the</w:t>
      </w:r>
      <w:r w:rsidR="00F90DCD" w:rsidRPr="00DD0AE8">
        <w:rPr>
          <w:rFonts w:ascii="Times New Roman" w:hAnsi="Times New Roman"/>
          <w:sz w:val="28"/>
        </w:rPr>
        <w:t xml:space="preserve"> </w:t>
      </w:r>
      <w:r w:rsidRPr="00DD0AE8">
        <w:rPr>
          <w:rFonts w:ascii="Times New Roman" w:hAnsi="Times New Roman"/>
          <w:sz w:val="28"/>
        </w:rPr>
        <w:t xml:space="preserve">recommended cost-benefit framework for the economic evaluation of smart grid investments, including an identification of the basic “building blocks” of the framework.  The section also provides some general recommendations to the Commission on how the framework </w:t>
      </w:r>
      <w:r w:rsidR="00A32480">
        <w:rPr>
          <w:rFonts w:ascii="Times New Roman" w:hAnsi="Times New Roman"/>
          <w:sz w:val="28"/>
        </w:rPr>
        <w:t>should</w:t>
      </w:r>
      <w:r w:rsidRPr="00DD0AE8">
        <w:rPr>
          <w:rFonts w:ascii="Times New Roman" w:hAnsi="Times New Roman"/>
          <w:sz w:val="28"/>
        </w:rPr>
        <w:t xml:space="preserve"> be used.</w:t>
      </w:r>
    </w:p>
    <w:p w:rsidR="000165A1" w:rsidRPr="000165A1" w:rsidRDefault="000815FD" w:rsidP="000165A1">
      <w:pPr>
        <w:spacing w:before="240"/>
        <w:rPr>
          <w:rFonts w:ascii="Times New Roman" w:hAnsi="Times New Roman"/>
          <w:b/>
          <w:sz w:val="28"/>
        </w:rPr>
      </w:pPr>
      <w:r w:rsidRPr="000165A1">
        <w:rPr>
          <w:rFonts w:ascii="Times New Roman" w:hAnsi="Times New Roman"/>
          <w:b/>
          <w:sz w:val="28"/>
        </w:rPr>
        <w:t xml:space="preserve">Use of the Cost-Benefit Framework.  </w:t>
      </w:r>
    </w:p>
    <w:p w:rsidR="007E1617" w:rsidRPr="00887D7E" w:rsidRDefault="007E1617" w:rsidP="000165A1">
      <w:pPr>
        <w:spacing w:before="240"/>
        <w:rPr>
          <w:rFonts w:ascii="Times New Roman" w:hAnsi="Times New Roman"/>
          <w:sz w:val="28"/>
        </w:rPr>
      </w:pPr>
      <w:r w:rsidRPr="00887D7E">
        <w:rPr>
          <w:rFonts w:ascii="Times New Roman" w:hAnsi="Times New Roman"/>
          <w:sz w:val="28"/>
        </w:rPr>
        <w:t xml:space="preserve">The </w:t>
      </w:r>
      <w:r w:rsidR="00000405">
        <w:rPr>
          <w:rFonts w:ascii="Times New Roman" w:hAnsi="Times New Roman"/>
          <w:sz w:val="28"/>
        </w:rPr>
        <w:t xml:space="preserve">cost-benefit </w:t>
      </w:r>
      <w:r w:rsidRPr="00887D7E">
        <w:rPr>
          <w:rFonts w:ascii="Times New Roman" w:hAnsi="Times New Roman"/>
          <w:sz w:val="28"/>
        </w:rPr>
        <w:t>framework described in this section is intended to apply to smart grid investments</w:t>
      </w:r>
      <w:r w:rsidR="000815FD">
        <w:rPr>
          <w:rFonts w:ascii="Times New Roman" w:hAnsi="Times New Roman"/>
          <w:sz w:val="28"/>
        </w:rPr>
        <w:t xml:space="preserve"> only</w:t>
      </w:r>
      <w:r w:rsidRPr="00887D7E">
        <w:rPr>
          <w:rFonts w:ascii="Times New Roman" w:hAnsi="Times New Roman"/>
          <w:sz w:val="28"/>
        </w:rPr>
        <w:t xml:space="preserve">. </w:t>
      </w:r>
      <w:r w:rsidR="00000405">
        <w:rPr>
          <w:rFonts w:ascii="Times New Roman" w:hAnsi="Times New Roman"/>
          <w:sz w:val="28"/>
        </w:rPr>
        <w:t xml:space="preserve">The framework </w:t>
      </w:r>
      <w:r w:rsidR="00CB1B78">
        <w:rPr>
          <w:rFonts w:ascii="Times New Roman" w:hAnsi="Times New Roman"/>
          <w:sz w:val="28"/>
        </w:rPr>
        <w:t>is not intended to exclude</w:t>
      </w:r>
      <w:r w:rsidR="00000405">
        <w:rPr>
          <w:rFonts w:ascii="Times New Roman" w:hAnsi="Times New Roman"/>
          <w:sz w:val="28"/>
        </w:rPr>
        <w:t xml:space="preserve"> </w:t>
      </w:r>
      <w:r w:rsidR="00CB1B78">
        <w:rPr>
          <w:rFonts w:ascii="Times New Roman" w:hAnsi="Times New Roman"/>
          <w:sz w:val="28"/>
        </w:rPr>
        <w:t xml:space="preserve">investment in </w:t>
      </w:r>
      <w:r w:rsidR="00000405">
        <w:rPr>
          <w:rFonts w:ascii="Times New Roman" w:hAnsi="Times New Roman"/>
          <w:sz w:val="28"/>
        </w:rPr>
        <w:t xml:space="preserve">pilot </w:t>
      </w:r>
      <w:r w:rsidR="00360058">
        <w:rPr>
          <w:rFonts w:ascii="Times New Roman" w:hAnsi="Times New Roman"/>
          <w:sz w:val="28"/>
        </w:rPr>
        <w:t xml:space="preserve">projects </w:t>
      </w:r>
      <w:r w:rsidR="00000405">
        <w:rPr>
          <w:rFonts w:ascii="Times New Roman" w:hAnsi="Times New Roman"/>
          <w:sz w:val="28"/>
        </w:rPr>
        <w:t xml:space="preserve">whose purposes include substantiation of cost-benefit estimates.  </w:t>
      </w:r>
      <w:r w:rsidR="000815FD">
        <w:rPr>
          <w:rFonts w:ascii="Times New Roman" w:hAnsi="Times New Roman"/>
          <w:sz w:val="28"/>
        </w:rPr>
        <w:t>Although s</w:t>
      </w:r>
      <w:r w:rsidR="00000405">
        <w:rPr>
          <w:rFonts w:ascii="Times New Roman" w:hAnsi="Times New Roman"/>
          <w:sz w:val="28"/>
        </w:rPr>
        <w:t>mart grid i</w:t>
      </w:r>
      <w:r w:rsidRPr="00887D7E">
        <w:rPr>
          <w:rFonts w:ascii="Times New Roman" w:hAnsi="Times New Roman"/>
          <w:sz w:val="28"/>
        </w:rPr>
        <w:t xml:space="preserve">nvestments may differ in the specific kinds of estimated </w:t>
      </w:r>
      <w:r w:rsidR="000815FD">
        <w:rPr>
          <w:rFonts w:ascii="Times New Roman" w:hAnsi="Times New Roman"/>
          <w:sz w:val="28"/>
        </w:rPr>
        <w:t>costs and benefits they include</w:t>
      </w:r>
      <w:r w:rsidRPr="00887D7E">
        <w:rPr>
          <w:rFonts w:ascii="Times New Roman" w:hAnsi="Times New Roman"/>
          <w:sz w:val="28"/>
        </w:rPr>
        <w:t xml:space="preserve">, </w:t>
      </w:r>
      <w:r w:rsidR="00F90DCD">
        <w:rPr>
          <w:rFonts w:ascii="Times New Roman" w:hAnsi="Times New Roman"/>
          <w:sz w:val="28"/>
        </w:rPr>
        <w:t>the Collaborative has</w:t>
      </w:r>
      <w:r w:rsidRPr="00887D7E">
        <w:rPr>
          <w:rFonts w:ascii="Times New Roman" w:hAnsi="Times New Roman"/>
          <w:sz w:val="28"/>
        </w:rPr>
        <w:t xml:space="preserve"> attempted to define a construct that is sufficiently robust and flexible to support the evaluation of all </w:t>
      </w:r>
      <w:r w:rsidR="00EB6A36">
        <w:rPr>
          <w:rFonts w:ascii="Times New Roman" w:hAnsi="Times New Roman"/>
          <w:sz w:val="28"/>
        </w:rPr>
        <w:t>smart grid</w:t>
      </w:r>
      <w:r w:rsidRPr="00887D7E">
        <w:rPr>
          <w:rFonts w:ascii="Times New Roman" w:hAnsi="Times New Roman"/>
          <w:sz w:val="28"/>
        </w:rPr>
        <w:t xml:space="preserve"> applications.  The cost-benefit framework </w:t>
      </w:r>
      <w:r w:rsidR="000F7CB0" w:rsidRPr="00887D7E">
        <w:rPr>
          <w:rFonts w:ascii="Times New Roman" w:hAnsi="Times New Roman"/>
          <w:sz w:val="28"/>
        </w:rPr>
        <w:t xml:space="preserve">can provide the structure for </w:t>
      </w:r>
      <w:r w:rsidR="00D17A9F" w:rsidRPr="00887D7E">
        <w:rPr>
          <w:rFonts w:ascii="Times New Roman" w:hAnsi="Times New Roman"/>
          <w:sz w:val="28"/>
        </w:rPr>
        <w:t>an</w:t>
      </w:r>
      <w:r w:rsidRPr="00887D7E">
        <w:rPr>
          <w:rFonts w:ascii="Times New Roman" w:hAnsi="Times New Roman"/>
          <w:sz w:val="28"/>
        </w:rPr>
        <w:t xml:space="preserve"> economic evaluation of a proposed smart grid investment</w:t>
      </w:r>
      <w:r w:rsidR="00D17A9F" w:rsidRPr="00887D7E">
        <w:rPr>
          <w:rFonts w:ascii="Times New Roman" w:hAnsi="Times New Roman"/>
          <w:sz w:val="28"/>
        </w:rPr>
        <w:t xml:space="preserve"> </w:t>
      </w:r>
      <w:r w:rsidRPr="00887D7E">
        <w:rPr>
          <w:rFonts w:ascii="Times New Roman" w:hAnsi="Times New Roman"/>
          <w:sz w:val="28"/>
        </w:rPr>
        <w:t>or of smart grid investments already made.</w:t>
      </w:r>
      <w:r w:rsidR="00887D7E" w:rsidRPr="00887D7E">
        <w:rPr>
          <w:rFonts w:ascii="Times New Roman" w:hAnsi="Times New Roman"/>
          <w:sz w:val="28"/>
        </w:rPr>
        <w:t xml:space="preserve">  </w:t>
      </w:r>
      <w:r w:rsidR="000815FD">
        <w:rPr>
          <w:rFonts w:ascii="Times New Roman" w:hAnsi="Times New Roman"/>
          <w:sz w:val="28"/>
        </w:rPr>
        <w:t>Finally, the</w:t>
      </w:r>
      <w:r w:rsidR="00A32480">
        <w:rPr>
          <w:rFonts w:ascii="Times New Roman" w:hAnsi="Times New Roman"/>
          <w:sz w:val="28"/>
        </w:rPr>
        <w:t xml:space="preserve"> Collaborative</w:t>
      </w:r>
      <w:r w:rsidR="000815FD">
        <w:rPr>
          <w:rFonts w:ascii="Times New Roman" w:hAnsi="Times New Roman"/>
          <w:sz w:val="28"/>
        </w:rPr>
        <w:t xml:space="preserve"> has </w:t>
      </w:r>
      <w:r w:rsidR="00A32480">
        <w:rPr>
          <w:rFonts w:ascii="Times New Roman" w:hAnsi="Times New Roman"/>
          <w:sz w:val="28"/>
        </w:rPr>
        <w:t>not</w:t>
      </w:r>
      <w:r w:rsidR="000815FD">
        <w:rPr>
          <w:rFonts w:ascii="Times New Roman" w:hAnsi="Times New Roman"/>
          <w:sz w:val="28"/>
        </w:rPr>
        <w:t xml:space="preserve"> provide</w:t>
      </w:r>
      <w:r w:rsidR="00A32480">
        <w:rPr>
          <w:rFonts w:ascii="Times New Roman" w:hAnsi="Times New Roman"/>
          <w:sz w:val="28"/>
        </w:rPr>
        <w:t>d</w:t>
      </w:r>
      <w:r w:rsidR="000815FD">
        <w:rPr>
          <w:rFonts w:ascii="Times New Roman" w:hAnsi="Times New Roman"/>
          <w:sz w:val="28"/>
        </w:rPr>
        <w:t xml:space="preserve"> recommendations on the controversial issue of cost allocation.  </w:t>
      </w:r>
      <w:r w:rsidR="00887D7E" w:rsidRPr="00887D7E">
        <w:rPr>
          <w:rFonts w:ascii="Times New Roman" w:hAnsi="Times New Roman"/>
          <w:sz w:val="28"/>
        </w:rPr>
        <w:t xml:space="preserve">Allocations for the purpose of recovering costs may </w:t>
      </w:r>
      <w:r w:rsidR="00887D7E">
        <w:rPr>
          <w:rFonts w:ascii="Times New Roman" w:hAnsi="Times New Roman"/>
          <w:sz w:val="28"/>
        </w:rPr>
        <w:t xml:space="preserve">or may not </w:t>
      </w:r>
      <w:r w:rsidR="00887D7E" w:rsidRPr="00887D7E">
        <w:rPr>
          <w:rFonts w:ascii="Times New Roman" w:hAnsi="Times New Roman"/>
          <w:sz w:val="28"/>
        </w:rPr>
        <w:t xml:space="preserve">be subject to a different methodology </w:t>
      </w:r>
      <w:r w:rsidR="0090333F">
        <w:rPr>
          <w:rFonts w:ascii="Times New Roman" w:hAnsi="Times New Roman"/>
          <w:sz w:val="28"/>
        </w:rPr>
        <w:t xml:space="preserve">from </w:t>
      </w:r>
      <w:r w:rsidR="00887D7E" w:rsidRPr="00887D7E">
        <w:rPr>
          <w:rFonts w:ascii="Times New Roman" w:hAnsi="Times New Roman"/>
          <w:sz w:val="28"/>
        </w:rPr>
        <w:t xml:space="preserve">that used for projecting costs and benefits.  </w:t>
      </w:r>
    </w:p>
    <w:p w:rsidR="000165A1" w:rsidRPr="000165A1" w:rsidRDefault="000165A1" w:rsidP="000165A1">
      <w:pPr>
        <w:spacing w:before="240"/>
        <w:rPr>
          <w:rFonts w:ascii="Times New Roman" w:hAnsi="Times New Roman"/>
          <w:b/>
          <w:sz w:val="28"/>
        </w:rPr>
      </w:pPr>
      <w:r w:rsidRPr="000165A1">
        <w:rPr>
          <w:rFonts w:ascii="Times New Roman" w:hAnsi="Times New Roman"/>
          <w:b/>
          <w:sz w:val="28"/>
        </w:rPr>
        <w:t>Building Blocks</w:t>
      </w:r>
    </w:p>
    <w:p w:rsidR="000165A1" w:rsidRPr="000165A1" w:rsidRDefault="000815FD" w:rsidP="000165A1">
      <w:pPr>
        <w:spacing w:before="240"/>
        <w:rPr>
          <w:rFonts w:ascii="Times New Roman" w:hAnsi="Times New Roman"/>
          <w:sz w:val="28"/>
        </w:rPr>
      </w:pPr>
      <w:r w:rsidRPr="000165A1">
        <w:rPr>
          <w:rFonts w:ascii="Times New Roman" w:hAnsi="Times New Roman"/>
          <w:sz w:val="28"/>
        </w:rPr>
        <w:t xml:space="preserve">The major elements </w:t>
      </w:r>
      <w:r w:rsidR="000165A1" w:rsidRPr="000165A1">
        <w:rPr>
          <w:rFonts w:ascii="Times New Roman" w:hAnsi="Times New Roman"/>
          <w:sz w:val="28"/>
        </w:rPr>
        <w:t xml:space="preserve">or “building blocks” of </w:t>
      </w:r>
      <w:r w:rsidRPr="000165A1">
        <w:rPr>
          <w:rFonts w:ascii="Times New Roman" w:hAnsi="Times New Roman"/>
          <w:sz w:val="28"/>
        </w:rPr>
        <w:t>any cost-benefit analysis</w:t>
      </w:r>
      <w:r w:rsidR="009400CC">
        <w:rPr>
          <w:rFonts w:ascii="Times New Roman" w:hAnsi="Times New Roman"/>
          <w:sz w:val="28"/>
        </w:rPr>
        <w:t xml:space="preserve">, including </w:t>
      </w:r>
      <w:r w:rsidRPr="000165A1">
        <w:rPr>
          <w:rFonts w:ascii="Times New Roman" w:hAnsi="Times New Roman"/>
          <w:sz w:val="28"/>
        </w:rPr>
        <w:t>this cost-benefit framework</w:t>
      </w:r>
      <w:r w:rsidR="009400CC">
        <w:rPr>
          <w:rFonts w:ascii="Times New Roman" w:hAnsi="Times New Roman"/>
          <w:sz w:val="28"/>
        </w:rPr>
        <w:t>,</w:t>
      </w:r>
      <w:r w:rsidRPr="000165A1">
        <w:rPr>
          <w:rFonts w:ascii="Times New Roman" w:hAnsi="Times New Roman"/>
          <w:sz w:val="28"/>
        </w:rPr>
        <w:t xml:space="preserve"> are the estimated costs and benefits associated with the investment</w:t>
      </w:r>
      <w:r w:rsidR="000165A1" w:rsidRPr="000165A1">
        <w:rPr>
          <w:rFonts w:ascii="Times New Roman" w:hAnsi="Times New Roman"/>
          <w:sz w:val="28"/>
        </w:rPr>
        <w:t xml:space="preserve"> and the discount rate used to calculate the present value of future cost and benefit streams</w:t>
      </w:r>
      <w:r w:rsidRPr="000165A1">
        <w:rPr>
          <w:rFonts w:ascii="Times New Roman" w:hAnsi="Times New Roman"/>
          <w:sz w:val="28"/>
        </w:rPr>
        <w:t xml:space="preserve">.  </w:t>
      </w:r>
      <w:r w:rsidR="000165A1" w:rsidRPr="000165A1">
        <w:rPr>
          <w:rFonts w:ascii="Times New Roman" w:hAnsi="Times New Roman"/>
          <w:sz w:val="28"/>
        </w:rPr>
        <w:t xml:space="preserve">The following sections provide a generic description of the elements of the cost-benefit framework; however, it should be noted that </w:t>
      </w:r>
      <w:r w:rsidR="000165A1">
        <w:rPr>
          <w:rFonts w:ascii="Times New Roman" w:hAnsi="Times New Roman"/>
          <w:sz w:val="28"/>
        </w:rPr>
        <w:t>t</w:t>
      </w:r>
      <w:r w:rsidR="000165A1" w:rsidRPr="000165A1">
        <w:rPr>
          <w:rFonts w:ascii="Times New Roman" w:hAnsi="Times New Roman"/>
          <w:sz w:val="28"/>
        </w:rPr>
        <w:t>he specific costs and benefits used to evaluate an investment will vary by investment and by the perspective of the analysis</w:t>
      </w:r>
      <w:r w:rsidR="000165A1">
        <w:rPr>
          <w:rFonts w:ascii="Times New Roman" w:hAnsi="Times New Roman"/>
          <w:sz w:val="28"/>
        </w:rPr>
        <w:t>.</w:t>
      </w:r>
    </w:p>
    <w:p w:rsidR="000165A1" w:rsidRPr="000165A1" w:rsidRDefault="000165A1" w:rsidP="000165A1">
      <w:pPr>
        <w:spacing w:before="240"/>
        <w:ind w:left="360"/>
        <w:rPr>
          <w:rFonts w:ascii="Times New Roman" w:hAnsi="Times New Roman"/>
          <w:b/>
          <w:i/>
          <w:sz w:val="28"/>
        </w:rPr>
      </w:pPr>
      <w:r w:rsidRPr="000165A1">
        <w:rPr>
          <w:rFonts w:ascii="Times New Roman" w:hAnsi="Times New Roman"/>
          <w:b/>
          <w:i/>
          <w:sz w:val="28"/>
        </w:rPr>
        <w:t>Estimated Costs</w:t>
      </w:r>
    </w:p>
    <w:p w:rsidR="000165A1" w:rsidRPr="00DD0AE8" w:rsidRDefault="000165A1" w:rsidP="000165A1">
      <w:pPr>
        <w:tabs>
          <w:tab w:val="left" w:pos="360"/>
        </w:tabs>
        <w:spacing w:before="240"/>
        <w:ind w:left="360"/>
        <w:rPr>
          <w:rFonts w:ascii="Times New Roman" w:hAnsi="Times New Roman"/>
          <w:sz w:val="28"/>
        </w:rPr>
      </w:pPr>
      <w:r>
        <w:rPr>
          <w:rFonts w:ascii="Times New Roman" w:hAnsi="Times New Roman"/>
          <w:sz w:val="28"/>
        </w:rPr>
        <w:t>Consistent with standard accounting practices, c</w:t>
      </w:r>
      <w:r w:rsidRPr="00DD0AE8">
        <w:rPr>
          <w:rFonts w:ascii="Times New Roman" w:hAnsi="Times New Roman"/>
          <w:sz w:val="28"/>
        </w:rPr>
        <w:t xml:space="preserve">osts </w:t>
      </w:r>
      <w:r>
        <w:rPr>
          <w:rFonts w:ascii="Times New Roman" w:hAnsi="Times New Roman"/>
          <w:sz w:val="28"/>
        </w:rPr>
        <w:t xml:space="preserve">generally </w:t>
      </w:r>
      <w:r w:rsidRPr="00DD0AE8">
        <w:rPr>
          <w:rFonts w:ascii="Times New Roman" w:hAnsi="Times New Roman"/>
          <w:sz w:val="28"/>
        </w:rPr>
        <w:t>can be expected to fall into the following categories:</w:t>
      </w:r>
    </w:p>
    <w:p w:rsidR="00D328EB" w:rsidRDefault="000165A1">
      <w:pPr>
        <w:pStyle w:val="ListParagraph"/>
        <w:numPr>
          <w:ilvl w:val="1"/>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lastRenderedPageBreak/>
        <w:t>Capital (changes in capital spending)</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Hardware</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Software</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Pr>
          <w:rFonts w:ascii="Times New Roman" w:eastAsia="+mn-ea" w:hAnsi="Times New Roman"/>
          <w:color w:val="000000"/>
          <w:sz w:val="28"/>
          <w:szCs w:val="28"/>
        </w:rPr>
        <w:t>Labor</w:t>
      </w:r>
    </w:p>
    <w:p w:rsidR="00D328EB" w:rsidRDefault="000165A1">
      <w:pPr>
        <w:pStyle w:val="ListParagraph"/>
        <w:numPr>
          <w:ilvl w:val="3"/>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Installation</w:t>
      </w:r>
    </w:p>
    <w:p w:rsidR="00D328EB" w:rsidRDefault="000165A1">
      <w:pPr>
        <w:pStyle w:val="ListParagraph"/>
        <w:numPr>
          <w:ilvl w:val="3"/>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Software integration</w:t>
      </w:r>
      <w:r>
        <w:rPr>
          <w:rFonts w:ascii="Times New Roman" w:eastAsia="+mn-ea" w:hAnsi="Times New Roman"/>
          <w:color w:val="000000"/>
          <w:sz w:val="28"/>
          <w:szCs w:val="28"/>
        </w:rPr>
        <w:t xml:space="preserve"> </w:t>
      </w:r>
    </w:p>
    <w:p w:rsidR="00D328EB" w:rsidRDefault="000165A1">
      <w:pPr>
        <w:pStyle w:val="ListParagraph"/>
        <w:numPr>
          <w:ilvl w:val="1"/>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O&amp;M (changes in on-going direct/indirect support costs associated with ongoing maintenance and operation of capital investments)</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Labor</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Software</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Hardware</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Pr>
          <w:rFonts w:ascii="Times New Roman" w:eastAsia="+mn-ea" w:hAnsi="Times New Roman"/>
          <w:color w:val="000000"/>
          <w:sz w:val="28"/>
          <w:szCs w:val="28"/>
        </w:rPr>
        <w:t>Service agreements</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Consumer education</w:t>
      </w:r>
    </w:p>
    <w:p w:rsidR="00D328EB" w:rsidRDefault="000165A1">
      <w:pPr>
        <w:pStyle w:val="ListParagraph"/>
        <w:numPr>
          <w:ilvl w:val="2"/>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Program administration</w:t>
      </w:r>
    </w:p>
    <w:p w:rsidR="00D328EB" w:rsidRDefault="00736BFD">
      <w:pPr>
        <w:pStyle w:val="ListParagraph"/>
        <w:numPr>
          <w:ilvl w:val="1"/>
          <w:numId w:val="1"/>
        </w:numPr>
        <w:kinsoku w:val="0"/>
        <w:overflowPunct w:val="0"/>
        <w:spacing w:after="0"/>
        <w:textAlignment w:val="baseline"/>
        <w:rPr>
          <w:rFonts w:ascii="Times New Roman" w:hAnsi="Times New Roman"/>
          <w:sz w:val="28"/>
          <w:szCs w:val="28"/>
        </w:rPr>
      </w:pPr>
      <w:r>
        <w:rPr>
          <w:rFonts w:ascii="Times New Roman" w:hAnsi="Times New Roman"/>
          <w:sz w:val="28"/>
          <w:szCs w:val="28"/>
        </w:rPr>
        <w:t>Stranded costs t</w:t>
      </w:r>
      <w:r w:rsidR="000165A1" w:rsidRPr="00FE1551">
        <w:rPr>
          <w:rFonts w:ascii="Times New Roman" w:hAnsi="Times New Roman"/>
          <w:sz w:val="28"/>
          <w:szCs w:val="28"/>
        </w:rPr>
        <w:t>hat m</w:t>
      </w:r>
      <w:r>
        <w:rPr>
          <w:rFonts w:ascii="Times New Roman" w:hAnsi="Times New Roman"/>
          <w:sz w:val="28"/>
          <w:szCs w:val="28"/>
        </w:rPr>
        <w:t>ay be created by the investment</w:t>
      </w:r>
    </w:p>
    <w:p w:rsidR="00D328EB" w:rsidRDefault="000165A1">
      <w:pPr>
        <w:pStyle w:val="ListParagraph"/>
        <w:numPr>
          <w:ilvl w:val="1"/>
          <w:numId w:val="1"/>
        </w:numPr>
        <w:kinsoku w:val="0"/>
        <w:overflowPunct w:val="0"/>
        <w:spacing w:after="0"/>
        <w:textAlignment w:val="baseline"/>
        <w:rPr>
          <w:rFonts w:ascii="Times New Roman" w:hAnsi="Times New Roman"/>
          <w:sz w:val="28"/>
          <w:szCs w:val="28"/>
        </w:rPr>
      </w:pPr>
      <w:r w:rsidRPr="00FE1551">
        <w:rPr>
          <w:rFonts w:ascii="Times New Roman" w:eastAsia="+mn-ea" w:hAnsi="Times New Roman"/>
          <w:color w:val="000000"/>
          <w:sz w:val="28"/>
          <w:szCs w:val="28"/>
        </w:rPr>
        <w:t>Potential negative impacts</w:t>
      </w:r>
    </w:p>
    <w:p w:rsidR="00D328EB" w:rsidRDefault="000165A1">
      <w:pPr>
        <w:pStyle w:val="ListParagraph"/>
        <w:numPr>
          <w:ilvl w:val="2"/>
          <w:numId w:val="1"/>
        </w:numPr>
        <w:kinsoku w:val="0"/>
        <w:overflowPunct w:val="0"/>
        <w:spacing w:after="0"/>
        <w:textAlignment w:val="baseline"/>
        <w:rPr>
          <w:rFonts w:ascii="Times New Roman" w:eastAsia="+mn-ea" w:hAnsi="Times New Roman"/>
          <w:color w:val="000000"/>
          <w:sz w:val="28"/>
          <w:szCs w:val="28"/>
        </w:rPr>
      </w:pPr>
      <w:r w:rsidRPr="00736BFD">
        <w:rPr>
          <w:rFonts w:ascii="Times New Roman" w:eastAsia="+mn-ea" w:hAnsi="Times New Roman"/>
          <w:color w:val="000000"/>
          <w:sz w:val="28"/>
          <w:szCs w:val="28"/>
        </w:rPr>
        <w:t>Customer, including negative impacts on customer privacy, customer safety, customer equipment, or customer costs</w:t>
      </w:r>
    </w:p>
    <w:p w:rsidR="00D328EB" w:rsidRDefault="000165A1">
      <w:pPr>
        <w:pStyle w:val="ListParagraph"/>
        <w:numPr>
          <w:ilvl w:val="2"/>
          <w:numId w:val="1"/>
        </w:numPr>
        <w:kinsoku w:val="0"/>
        <w:overflowPunct w:val="0"/>
        <w:spacing w:after="0"/>
        <w:textAlignment w:val="baseline"/>
        <w:rPr>
          <w:rFonts w:ascii="Times New Roman" w:eastAsia="+mn-ea" w:hAnsi="Times New Roman"/>
          <w:color w:val="000000"/>
          <w:sz w:val="28"/>
          <w:szCs w:val="28"/>
        </w:rPr>
      </w:pPr>
      <w:r w:rsidRPr="00736BFD">
        <w:rPr>
          <w:rFonts w:ascii="Times New Roman" w:eastAsia="+mn-ea" w:hAnsi="Times New Roman"/>
          <w:color w:val="000000"/>
          <w:sz w:val="28"/>
          <w:szCs w:val="28"/>
        </w:rPr>
        <w:t>Technology, including risks and costs resulting from increased reliance and dependence on digital technologies</w:t>
      </w:r>
    </w:p>
    <w:p w:rsidR="00D328EB" w:rsidRDefault="000165A1">
      <w:pPr>
        <w:pStyle w:val="ListParagraph"/>
        <w:numPr>
          <w:ilvl w:val="2"/>
          <w:numId w:val="1"/>
        </w:numPr>
        <w:kinsoku w:val="0"/>
        <w:overflowPunct w:val="0"/>
        <w:spacing w:after="0"/>
        <w:textAlignment w:val="baseline"/>
        <w:rPr>
          <w:rFonts w:ascii="Times New Roman" w:eastAsia="+mn-ea" w:hAnsi="Times New Roman"/>
          <w:color w:val="000000"/>
          <w:sz w:val="28"/>
          <w:szCs w:val="28"/>
        </w:rPr>
      </w:pPr>
      <w:r w:rsidRPr="00736BFD">
        <w:rPr>
          <w:rFonts w:ascii="Times New Roman" w:eastAsia="+mn-ea" w:hAnsi="Times New Roman"/>
          <w:color w:val="000000"/>
          <w:sz w:val="28"/>
          <w:szCs w:val="28"/>
        </w:rPr>
        <w:t>Employee and Public Safety</w:t>
      </w:r>
    </w:p>
    <w:p w:rsidR="00D328EB" w:rsidRDefault="000165A1">
      <w:pPr>
        <w:pStyle w:val="ListParagraph"/>
        <w:numPr>
          <w:ilvl w:val="2"/>
          <w:numId w:val="1"/>
        </w:numPr>
        <w:kinsoku w:val="0"/>
        <w:overflowPunct w:val="0"/>
        <w:spacing w:after="0"/>
        <w:textAlignment w:val="baseline"/>
        <w:rPr>
          <w:rFonts w:ascii="Times New Roman" w:eastAsia="+mn-ea" w:hAnsi="Times New Roman"/>
          <w:color w:val="000000"/>
          <w:sz w:val="28"/>
          <w:szCs w:val="28"/>
        </w:rPr>
      </w:pPr>
      <w:r w:rsidRPr="00736BFD">
        <w:rPr>
          <w:rFonts w:ascii="Times New Roman" w:eastAsia="+mn-ea" w:hAnsi="Times New Roman"/>
          <w:color w:val="000000"/>
          <w:sz w:val="28"/>
          <w:szCs w:val="28"/>
        </w:rPr>
        <w:t xml:space="preserve">Utility Operations, including potential increases in undetected energy theft, legal costs, or customer care costs.  </w:t>
      </w:r>
    </w:p>
    <w:p w:rsidR="000165A1" w:rsidRPr="00736BFD" w:rsidRDefault="000165A1" w:rsidP="00736BFD">
      <w:pPr>
        <w:spacing w:before="240"/>
        <w:ind w:left="360"/>
        <w:rPr>
          <w:rFonts w:ascii="Times New Roman" w:hAnsi="Times New Roman"/>
          <w:b/>
          <w:i/>
          <w:sz w:val="28"/>
        </w:rPr>
      </w:pPr>
      <w:r w:rsidRPr="00736BFD">
        <w:rPr>
          <w:rFonts w:ascii="Times New Roman" w:hAnsi="Times New Roman"/>
          <w:b/>
          <w:i/>
          <w:sz w:val="28"/>
        </w:rPr>
        <w:t>Potential Benefits</w:t>
      </w:r>
    </w:p>
    <w:p w:rsidR="000165A1" w:rsidRPr="00B63B9E" w:rsidRDefault="000165A1" w:rsidP="00736BFD">
      <w:pPr>
        <w:tabs>
          <w:tab w:val="left" w:pos="360"/>
        </w:tabs>
        <w:spacing w:before="240"/>
        <w:ind w:left="360"/>
        <w:rPr>
          <w:rFonts w:ascii="Times New Roman" w:hAnsi="Times New Roman"/>
          <w:sz w:val="28"/>
        </w:rPr>
      </w:pPr>
      <w:r w:rsidRPr="00B63B9E">
        <w:rPr>
          <w:rFonts w:ascii="Times New Roman" w:hAnsi="Times New Roman"/>
          <w:sz w:val="28"/>
        </w:rPr>
        <w:t>Potential sources of benefit may be categorized according to the entity that would initially and directly realize the benefit.  These categories include:</w:t>
      </w:r>
    </w:p>
    <w:p w:rsidR="00D328EB" w:rsidRDefault="000165A1">
      <w:pPr>
        <w:pStyle w:val="ListParagraph"/>
        <w:numPr>
          <w:ilvl w:val="1"/>
          <w:numId w:val="1"/>
        </w:numPr>
        <w:kinsoku w:val="0"/>
        <w:overflowPunct w:val="0"/>
        <w:spacing w:after="120"/>
        <w:contextualSpacing w:val="0"/>
        <w:textAlignment w:val="baseline"/>
        <w:rPr>
          <w:rFonts w:ascii="Times New Roman" w:eastAsia="+mn-ea" w:hAnsi="Times New Roman"/>
          <w:color w:val="000000"/>
          <w:sz w:val="28"/>
          <w:szCs w:val="28"/>
        </w:rPr>
      </w:pPr>
      <w:r w:rsidRPr="00B414B8">
        <w:rPr>
          <w:rFonts w:ascii="Times New Roman" w:eastAsia="+mn-ea" w:hAnsi="Times New Roman"/>
          <w:color w:val="000000"/>
          <w:sz w:val="28"/>
          <w:szCs w:val="28"/>
        </w:rPr>
        <w:t xml:space="preserve">Customer Value – potential benefits realized by individual electricity consumers in Illinois, including reductions in customer costs for electric delivery service and </w:t>
      </w:r>
      <w:r>
        <w:rPr>
          <w:rFonts w:ascii="Times New Roman" w:eastAsia="+mn-ea" w:hAnsi="Times New Roman"/>
          <w:color w:val="000000"/>
          <w:sz w:val="28"/>
          <w:szCs w:val="28"/>
        </w:rPr>
        <w:t>energy</w:t>
      </w:r>
      <w:r w:rsidRPr="00B414B8">
        <w:rPr>
          <w:rFonts w:ascii="Times New Roman" w:eastAsia="+mn-ea" w:hAnsi="Times New Roman"/>
          <w:color w:val="000000"/>
          <w:sz w:val="28"/>
          <w:szCs w:val="28"/>
        </w:rPr>
        <w:t xml:space="preserve"> supply service, and decreases in outages and improved power quality</w:t>
      </w:r>
    </w:p>
    <w:p w:rsidR="00D328EB" w:rsidRDefault="000165A1">
      <w:pPr>
        <w:pStyle w:val="ListParagraph"/>
        <w:numPr>
          <w:ilvl w:val="1"/>
          <w:numId w:val="1"/>
        </w:numPr>
        <w:kinsoku w:val="0"/>
        <w:overflowPunct w:val="0"/>
        <w:spacing w:after="120"/>
        <w:contextualSpacing w:val="0"/>
        <w:textAlignment w:val="baseline"/>
        <w:rPr>
          <w:rFonts w:ascii="Times New Roman" w:eastAsia="+mn-ea" w:hAnsi="Times New Roman"/>
          <w:color w:val="000000"/>
          <w:sz w:val="28"/>
          <w:szCs w:val="28"/>
        </w:rPr>
      </w:pPr>
      <w:r w:rsidRPr="00B414B8">
        <w:rPr>
          <w:rFonts w:ascii="Times New Roman" w:eastAsia="+mn-ea" w:hAnsi="Times New Roman"/>
          <w:color w:val="000000"/>
          <w:sz w:val="28"/>
          <w:szCs w:val="28"/>
        </w:rPr>
        <w:t xml:space="preserve">Utility Value – potential benefits realized by </w:t>
      </w:r>
      <w:r>
        <w:rPr>
          <w:rFonts w:ascii="Times New Roman" w:eastAsia="+mn-ea" w:hAnsi="Times New Roman"/>
          <w:color w:val="000000"/>
          <w:sz w:val="28"/>
          <w:szCs w:val="28"/>
        </w:rPr>
        <w:t xml:space="preserve">state jurisdictional </w:t>
      </w:r>
      <w:r w:rsidRPr="00B414B8">
        <w:rPr>
          <w:rFonts w:ascii="Times New Roman" w:eastAsia="+mn-ea" w:hAnsi="Times New Roman"/>
          <w:color w:val="000000"/>
          <w:sz w:val="28"/>
          <w:szCs w:val="28"/>
        </w:rPr>
        <w:t xml:space="preserve">distribution or transmission </w:t>
      </w:r>
      <w:r>
        <w:rPr>
          <w:rFonts w:ascii="Times New Roman" w:eastAsia="+mn-ea" w:hAnsi="Times New Roman"/>
          <w:color w:val="000000"/>
          <w:sz w:val="28"/>
          <w:szCs w:val="28"/>
        </w:rPr>
        <w:t>providers</w:t>
      </w:r>
      <w:r w:rsidRPr="00B414B8">
        <w:rPr>
          <w:rFonts w:ascii="Times New Roman" w:eastAsia="+mn-ea" w:hAnsi="Times New Roman"/>
          <w:color w:val="000000"/>
          <w:sz w:val="28"/>
          <w:szCs w:val="28"/>
        </w:rPr>
        <w:t xml:space="preserve">, including reductions in </w:t>
      </w:r>
      <w:r w:rsidRPr="00B414B8">
        <w:rPr>
          <w:rFonts w:ascii="Times New Roman" w:eastAsia="+mn-ea" w:hAnsi="Times New Roman"/>
          <w:color w:val="000000"/>
          <w:sz w:val="28"/>
          <w:szCs w:val="28"/>
        </w:rPr>
        <w:lastRenderedPageBreak/>
        <w:t xml:space="preserve">operating costs, reductions and/or deferrals in capital spending, increases in system reliability, and improved employee safety.  </w:t>
      </w:r>
    </w:p>
    <w:p w:rsidR="00D328EB" w:rsidRDefault="000165A1">
      <w:pPr>
        <w:pStyle w:val="ListParagraph"/>
        <w:numPr>
          <w:ilvl w:val="1"/>
          <w:numId w:val="1"/>
        </w:numPr>
        <w:kinsoku w:val="0"/>
        <w:overflowPunct w:val="0"/>
        <w:spacing w:after="120"/>
        <w:contextualSpacing w:val="0"/>
        <w:textAlignment w:val="baseline"/>
        <w:rPr>
          <w:rFonts w:ascii="Times New Roman" w:eastAsia="+mn-ea" w:hAnsi="Times New Roman"/>
          <w:color w:val="000000"/>
          <w:sz w:val="28"/>
          <w:szCs w:val="28"/>
        </w:rPr>
      </w:pPr>
      <w:r>
        <w:rPr>
          <w:rFonts w:ascii="Times New Roman" w:eastAsia="+mn-ea" w:hAnsi="Times New Roman"/>
          <w:color w:val="000000"/>
          <w:sz w:val="28"/>
          <w:szCs w:val="28"/>
        </w:rPr>
        <w:t>Regional</w:t>
      </w:r>
      <w:r w:rsidRPr="00B414B8">
        <w:rPr>
          <w:rFonts w:ascii="Times New Roman" w:eastAsia="+mn-ea" w:hAnsi="Times New Roman"/>
          <w:color w:val="000000"/>
          <w:sz w:val="28"/>
          <w:szCs w:val="28"/>
        </w:rPr>
        <w:t xml:space="preserve"> Electricity Market Value – potential benefits observable in regional wholesale electricity markets.  This could include </w:t>
      </w:r>
      <w:r>
        <w:rPr>
          <w:rFonts w:ascii="Times New Roman" w:eastAsia="+mn-ea" w:hAnsi="Times New Roman"/>
          <w:color w:val="000000"/>
          <w:sz w:val="28"/>
          <w:szCs w:val="28"/>
        </w:rPr>
        <w:t xml:space="preserve">reductions in price volatility, </w:t>
      </w:r>
      <w:r w:rsidRPr="00B414B8">
        <w:rPr>
          <w:rFonts w:ascii="Times New Roman" w:eastAsia="+mn-ea" w:hAnsi="Times New Roman"/>
          <w:color w:val="000000"/>
          <w:sz w:val="28"/>
          <w:szCs w:val="28"/>
        </w:rPr>
        <w:t xml:space="preserve">reductions in the prices of energy supply and capacity resulting from changes in the magnitude or timing of electricity demand and deferrals or reductions in transmission and generation investment.    </w:t>
      </w:r>
    </w:p>
    <w:p w:rsidR="00D328EB" w:rsidRDefault="008C196A">
      <w:pPr>
        <w:pStyle w:val="ListParagraph"/>
        <w:numPr>
          <w:ilvl w:val="1"/>
          <w:numId w:val="1"/>
        </w:numPr>
        <w:kinsoku w:val="0"/>
        <w:overflowPunct w:val="0"/>
        <w:spacing w:after="120"/>
        <w:contextualSpacing w:val="0"/>
        <w:textAlignment w:val="baseline"/>
        <w:rPr>
          <w:rFonts w:ascii="Times New Roman" w:eastAsia="+mn-ea" w:hAnsi="Times New Roman"/>
          <w:color w:val="000000"/>
          <w:sz w:val="28"/>
          <w:szCs w:val="28"/>
        </w:rPr>
      </w:pPr>
      <w:r>
        <w:rPr>
          <w:rFonts w:ascii="Times New Roman" w:eastAsia="+mn-ea" w:hAnsi="Times New Roman"/>
          <w:color w:val="000000"/>
          <w:sz w:val="28"/>
          <w:szCs w:val="28"/>
        </w:rPr>
        <w:t xml:space="preserve">RTO/ISO Value – potential benefits to the regional transmission operator or independent system operator.  This could include </w:t>
      </w:r>
      <w:r w:rsidRPr="008C196A">
        <w:rPr>
          <w:rFonts w:ascii="Times New Roman" w:eastAsia="+mn-ea" w:hAnsi="Times New Roman"/>
          <w:color w:val="000000"/>
          <w:sz w:val="28"/>
          <w:szCs w:val="28"/>
        </w:rPr>
        <w:t xml:space="preserve">increased </w:t>
      </w:r>
      <w:r>
        <w:rPr>
          <w:rFonts w:ascii="Times New Roman" w:eastAsia="+mn-ea" w:hAnsi="Times New Roman"/>
          <w:color w:val="000000"/>
          <w:sz w:val="28"/>
          <w:szCs w:val="28"/>
        </w:rPr>
        <w:t xml:space="preserve">regional system reliability </w:t>
      </w:r>
      <w:r w:rsidRPr="008C196A">
        <w:rPr>
          <w:rFonts w:ascii="Times New Roman" w:eastAsia="+mn-ea" w:hAnsi="Times New Roman"/>
          <w:color w:val="000000"/>
          <w:sz w:val="28"/>
          <w:szCs w:val="28"/>
        </w:rPr>
        <w:t xml:space="preserve">grid stability, improved situational awareness, improved forecasting, and improvements to the settlement process  </w:t>
      </w:r>
    </w:p>
    <w:p w:rsidR="00D328EB" w:rsidRDefault="000165A1">
      <w:pPr>
        <w:pStyle w:val="ListParagraph"/>
        <w:numPr>
          <w:ilvl w:val="1"/>
          <w:numId w:val="1"/>
        </w:numPr>
        <w:kinsoku w:val="0"/>
        <w:overflowPunct w:val="0"/>
        <w:spacing w:after="120"/>
        <w:contextualSpacing w:val="0"/>
        <w:textAlignment w:val="baseline"/>
        <w:rPr>
          <w:rFonts w:ascii="Times New Roman" w:eastAsia="+mn-ea" w:hAnsi="Times New Roman"/>
          <w:color w:val="000000"/>
          <w:sz w:val="28"/>
          <w:szCs w:val="28"/>
        </w:rPr>
      </w:pPr>
      <w:r w:rsidRPr="00B414B8">
        <w:rPr>
          <w:rFonts w:ascii="Times New Roman" w:eastAsia="+mn-ea" w:hAnsi="Times New Roman"/>
          <w:color w:val="000000"/>
          <w:sz w:val="28"/>
          <w:szCs w:val="28"/>
        </w:rPr>
        <w:t>Competitive Supplier/Third Party Value – potential benefits to alternative retail electric suppliers</w:t>
      </w:r>
      <w:r>
        <w:rPr>
          <w:rFonts w:ascii="Times New Roman" w:eastAsia="+mn-ea" w:hAnsi="Times New Roman"/>
          <w:color w:val="000000"/>
          <w:sz w:val="28"/>
          <w:szCs w:val="28"/>
        </w:rPr>
        <w:t>, non-state jurisdictional entities,</w:t>
      </w:r>
      <w:r w:rsidRPr="00B414B8">
        <w:rPr>
          <w:rFonts w:ascii="Times New Roman" w:eastAsia="+mn-ea" w:hAnsi="Times New Roman"/>
          <w:color w:val="000000"/>
          <w:sz w:val="28"/>
          <w:szCs w:val="28"/>
        </w:rPr>
        <w:t xml:space="preserve"> and other third parties</w:t>
      </w:r>
    </w:p>
    <w:p w:rsidR="00D328EB" w:rsidRDefault="000165A1">
      <w:pPr>
        <w:pStyle w:val="ListParagraph"/>
        <w:numPr>
          <w:ilvl w:val="1"/>
          <w:numId w:val="1"/>
        </w:numPr>
        <w:kinsoku w:val="0"/>
        <w:overflowPunct w:val="0"/>
        <w:spacing w:before="240" w:after="120"/>
        <w:contextualSpacing w:val="0"/>
        <w:textAlignment w:val="baseline"/>
        <w:rPr>
          <w:rFonts w:ascii="Times New Roman" w:hAnsi="Times New Roman"/>
          <w:sz w:val="28"/>
        </w:rPr>
      </w:pPr>
      <w:r w:rsidRPr="00432535">
        <w:rPr>
          <w:rFonts w:ascii="Times New Roman" w:eastAsia="+mn-ea" w:hAnsi="Times New Roman"/>
          <w:color w:val="000000"/>
          <w:sz w:val="28"/>
          <w:szCs w:val="28"/>
        </w:rPr>
        <w:t>Societal Value – potential benefits realized by society as a whole, not necessarily Illinois electricity consumers</w:t>
      </w:r>
      <w:r w:rsidR="00A32480">
        <w:rPr>
          <w:rFonts w:ascii="Times New Roman" w:eastAsia="+mn-ea" w:hAnsi="Times New Roman"/>
          <w:color w:val="000000"/>
          <w:sz w:val="28"/>
          <w:szCs w:val="28"/>
        </w:rPr>
        <w:t xml:space="preserve"> (e.g., environmental benefits, improvements to public health/safety, economic development, and </w:t>
      </w:r>
      <w:r w:rsidR="00A32480" w:rsidRPr="009E769F">
        <w:rPr>
          <w:rFonts w:ascii="Times New Roman" w:eastAsia="+mn-ea" w:hAnsi="Times New Roman"/>
          <w:color w:val="000000"/>
          <w:sz w:val="28"/>
          <w:szCs w:val="28"/>
        </w:rPr>
        <w:t xml:space="preserve">improvements to or the expansion of </w:t>
      </w:r>
      <w:r w:rsidR="00A32480">
        <w:rPr>
          <w:rFonts w:ascii="Times New Roman" w:eastAsia="+mn-ea" w:hAnsi="Times New Roman"/>
          <w:color w:val="000000"/>
          <w:sz w:val="28"/>
          <w:szCs w:val="28"/>
        </w:rPr>
        <w:t>broadband communications networks)</w:t>
      </w:r>
      <w:r w:rsidRPr="00432535">
        <w:rPr>
          <w:rFonts w:ascii="Times New Roman" w:eastAsia="+mn-ea" w:hAnsi="Times New Roman"/>
          <w:color w:val="000000"/>
          <w:sz w:val="28"/>
          <w:szCs w:val="28"/>
        </w:rPr>
        <w:t>.</w:t>
      </w:r>
    </w:p>
    <w:p w:rsidR="008C196A" w:rsidRPr="00736BFD" w:rsidRDefault="008C196A" w:rsidP="008C196A">
      <w:pPr>
        <w:spacing w:before="240"/>
        <w:ind w:left="360"/>
        <w:rPr>
          <w:rFonts w:ascii="Times New Roman" w:hAnsi="Times New Roman"/>
          <w:b/>
          <w:i/>
          <w:sz w:val="28"/>
        </w:rPr>
      </w:pPr>
      <w:r>
        <w:rPr>
          <w:rFonts w:ascii="Times New Roman" w:hAnsi="Times New Roman"/>
          <w:b/>
          <w:i/>
          <w:sz w:val="28"/>
        </w:rPr>
        <w:t>Discount Rate</w:t>
      </w:r>
    </w:p>
    <w:p w:rsidR="00B94697" w:rsidRPr="006646AE" w:rsidRDefault="00B414B8" w:rsidP="008C196A">
      <w:pPr>
        <w:spacing w:before="240"/>
        <w:ind w:left="360"/>
        <w:rPr>
          <w:rFonts w:ascii="Times New Roman" w:hAnsi="Times New Roman"/>
          <w:sz w:val="28"/>
        </w:rPr>
      </w:pPr>
      <w:r w:rsidRPr="006646AE">
        <w:rPr>
          <w:rFonts w:ascii="Times New Roman" w:hAnsi="Times New Roman"/>
          <w:sz w:val="28"/>
          <w:szCs w:val="28"/>
        </w:rPr>
        <w:t>Smart grid applications, like other investments</w:t>
      </w:r>
      <w:r w:rsidR="009400CC">
        <w:rPr>
          <w:rFonts w:ascii="Times New Roman" w:hAnsi="Times New Roman"/>
          <w:sz w:val="28"/>
          <w:szCs w:val="28"/>
        </w:rPr>
        <w:t xml:space="preserve">, can be expected to require </w:t>
      </w:r>
      <w:r w:rsidRPr="006646AE">
        <w:rPr>
          <w:rFonts w:ascii="Times New Roman" w:hAnsi="Times New Roman"/>
          <w:sz w:val="28"/>
          <w:szCs w:val="28"/>
        </w:rPr>
        <w:t>upfront capital investment</w:t>
      </w:r>
      <w:r w:rsidR="009400CC">
        <w:rPr>
          <w:rFonts w:ascii="Times New Roman" w:hAnsi="Times New Roman"/>
          <w:sz w:val="28"/>
          <w:szCs w:val="28"/>
        </w:rPr>
        <w:t>s</w:t>
      </w:r>
      <w:r w:rsidRPr="006646AE">
        <w:rPr>
          <w:rFonts w:ascii="Times New Roman" w:hAnsi="Times New Roman"/>
          <w:sz w:val="28"/>
          <w:szCs w:val="28"/>
        </w:rPr>
        <w:t xml:space="preserve"> and additional </w:t>
      </w:r>
      <w:r w:rsidR="008C196A">
        <w:rPr>
          <w:rFonts w:ascii="Times New Roman" w:hAnsi="Times New Roman"/>
          <w:sz w:val="28"/>
          <w:szCs w:val="28"/>
        </w:rPr>
        <w:t xml:space="preserve">on-going </w:t>
      </w:r>
      <w:r w:rsidRPr="006646AE">
        <w:rPr>
          <w:rFonts w:ascii="Times New Roman" w:hAnsi="Times New Roman"/>
          <w:sz w:val="28"/>
          <w:szCs w:val="28"/>
        </w:rPr>
        <w:t xml:space="preserve">support for future capital and </w:t>
      </w:r>
      <w:r w:rsidR="00F90DCD">
        <w:rPr>
          <w:rFonts w:ascii="Times New Roman" w:hAnsi="Times New Roman"/>
          <w:sz w:val="28"/>
          <w:szCs w:val="28"/>
        </w:rPr>
        <w:t>operations and maintenance (</w:t>
      </w:r>
      <w:r w:rsidRPr="006646AE">
        <w:rPr>
          <w:rFonts w:ascii="Times New Roman" w:hAnsi="Times New Roman"/>
          <w:sz w:val="28"/>
          <w:szCs w:val="28"/>
        </w:rPr>
        <w:t>O&amp;M</w:t>
      </w:r>
      <w:r w:rsidR="00F90DCD">
        <w:rPr>
          <w:rFonts w:ascii="Times New Roman" w:hAnsi="Times New Roman"/>
          <w:sz w:val="28"/>
          <w:szCs w:val="28"/>
        </w:rPr>
        <w:t>)</w:t>
      </w:r>
      <w:r w:rsidRPr="006646AE">
        <w:rPr>
          <w:rFonts w:ascii="Times New Roman" w:hAnsi="Times New Roman"/>
          <w:sz w:val="28"/>
          <w:szCs w:val="28"/>
        </w:rPr>
        <w:t xml:space="preserve"> spending.  The realization of benefits may occur gradually and over extended time periods.  (Specific considerations for the appropriate time horizon for the analysis are described </w:t>
      </w:r>
      <w:r w:rsidR="00A32480">
        <w:rPr>
          <w:rFonts w:ascii="Times New Roman" w:hAnsi="Times New Roman"/>
          <w:sz w:val="28"/>
          <w:szCs w:val="28"/>
        </w:rPr>
        <w:t>elsewhere in this chapter</w:t>
      </w:r>
      <w:r w:rsidRPr="006646AE">
        <w:rPr>
          <w:rFonts w:ascii="Times New Roman" w:hAnsi="Times New Roman"/>
          <w:sz w:val="28"/>
          <w:szCs w:val="28"/>
        </w:rPr>
        <w:t xml:space="preserve">.)  Therefore, all cost-benefit analyses in support of a </w:t>
      </w:r>
      <w:r w:rsidR="00EB6A36">
        <w:rPr>
          <w:rFonts w:ascii="Times New Roman" w:hAnsi="Times New Roman"/>
          <w:sz w:val="28"/>
          <w:szCs w:val="28"/>
        </w:rPr>
        <w:t>smart grid</w:t>
      </w:r>
      <w:r w:rsidRPr="006646AE">
        <w:rPr>
          <w:rFonts w:ascii="Times New Roman" w:hAnsi="Times New Roman"/>
          <w:sz w:val="28"/>
          <w:szCs w:val="28"/>
        </w:rPr>
        <w:t xml:space="preserve"> investment should reflect and adjust for the expected timing of estimated costs and benefits.  Future expected streams of costs and benefits should be converted into a present value amount via a</w:t>
      </w:r>
      <w:r w:rsidR="00CB1B78" w:rsidRPr="006646AE">
        <w:rPr>
          <w:rFonts w:ascii="Times New Roman" w:hAnsi="Times New Roman"/>
          <w:sz w:val="28"/>
          <w:szCs w:val="28"/>
        </w:rPr>
        <w:t>n appropriate</w:t>
      </w:r>
      <w:r w:rsidRPr="006646AE">
        <w:rPr>
          <w:rFonts w:ascii="Times New Roman" w:hAnsi="Times New Roman"/>
          <w:sz w:val="28"/>
          <w:szCs w:val="28"/>
        </w:rPr>
        <w:t xml:space="preserve"> discount rate</w:t>
      </w:r>
      <w:r w:rsidR="00CB1B78" w:rsidRPr="006646AE">
        <w:rPr>
          <w:rFonts w:ascii="Times New Roman" w:hAnsi="Times New Roman"/>
          <w:sz w:val="28"/>
          <w:szCs w:val="28"/>
        </w:rPr>
        <w:t>.</w:t>
      </w:r>
      <w:r w:rsidRPr="006646AE">
        <w:rPr>
          <w:rFonts w:ascii="Times New Roman" w:hAnsi="Times New Roman"/>
          <w:sz w:val="28"/>
          <w:szCs w:val="28"/>
        </w:rPr>
        <w:t xml:space="preserve"> </w:t>
      </w:r>
      <w:r w:rsidR="001B0F50">
        <w:rPr>
          <w:rFonts w:ascii="Times New Roman" w:hAnsi="Times New Roman"/>
          <w:sz w:val="28"/>
          <w:szCs w:val="28"/>
        </w:rPr>
        <w:t xml:space="preserve">Guidance on appropriate discount rates for smart grid cost-benefit analysis is provided in the </w:t>
      </w:r>
      <w:r w:rsidR="001B0F50">
        <w:rPr>
          <w:rFonts w:ascii="Times New Roman" w:hAnsi="Times New Roman"/>
          <w:sz w:val="28"/>
          <w:szCs w:val="28"/>
        </w:rPr>
        <w:lastRenderedPageBreak/>
        <w:t>Multiple Views/Perspectives section of this chapter.  However, t</w:t>
      </w:r>
      <w:r w:rsidRPr="006646AE">
        <w:rPr>
          <w:rFonts w:ascii="Times New Roman" w:hAnsi="Times New Roman"/>
          <w:sz w:val="28"/>
          <w:szCs w:val="28"/>
        </w:rPr>
        <w:t>he discount rates used in the analyses are not intended to affect the rate of return that the Commission may set for future cost recovery on the investment</w:t>
      </w:r>
    </w:p>
    <w:p w:rsidR="001E7E03" w:rsidRPr="000165A1" w:rsidRDefault="00C662E8" w:rsidP="001E7E03">
      <w:pPr>
        <w:spacing w:before="240"/>
        <w:rPr>
          <w:rFonts w:ascii="Times New Roman" w:hAnsi="Times New Roman"/>
          <w:b/>
          <w:sz w:val="28"/>
        </w:rPr>
      </w:pPr>
      <w:r>
        <w:rPr>
          <w:rFonts w:ascii="Times New Roman" w:hAnsi="Times New Roman"/>
          <w:b/>
          <w:sz w:val="28"/>
        </w:rPr>
        <w:t>General</w:t>
      </w:r>
      <w:r w:rsidR="001E7E03">
        <w:rPr>
          <w:rFonts w:ascii="Times New Roman" w:hAnsi="Times New Roman"/>
          <w:b/>
          <w:sz w:val="28"/>
        </w:rPr>
        <w:t xml:space="preserve"> Requirements</w:t>
      </w:r>
    </w:p>
    <w:p w:rsidR="001E7E03" w:rsidRPr="00DD0AE8" w:rsidRDefault="001E7E03" w:rsidP="00A32480">
      <w:pPr>
        <w:tabs>
          <w:tab w:val="left" w:pos="360"/>
        </w:tabs>
        <w:spacing w:before="240"/>
        <w:rPr>
          <w:rFonts w:ascii="Times New Roman" w:hAnsi="Times New Roman"/>
          <w:sz w:val="28"/>
        </w:rPr>
      </w:pPr>
      <w:r w:rsidRPr="00DD0AE8">
        <w:rPr>
          <w:rFonts w:ascii="Times New Roman" w:hAnsi="Times New Roman"/>
          <w:sz w:val="28"/>
        </w:rPr>
        <w:t xml:space="preserve">The cost-benefit analysis of smart grid investments is intended to be comprehensive.  </w:t>
      </w:r>
      <w:r>
        <w:rPr>
          <w:rFonts w:ascii="Times New Roman" w:hAnsi="Times New Roman"/>
          <w:sz w:val="28"/>
        </w:rPr>
        <w:t>However, i</w:t>
      </w:r>
      <w:r w:rsidRPr="000165A1">
        <w:rPr>
          <w:rFonts w:ascii="Times New Roman" w:hAnsi="Times New Roman"/>
          <w:sz w:val="28"/>
        </w:rPr>
        <w:t xml:space="preserve">n order for all of the elements to be incorporated into an economic analysis, all quantified costs and benefits must be expressed monetarily.  </w:t>
      </w:r>
      <w:r w:rsidRPr="00DD0AE8">
        <w:rPr>
          <w:rFonts w:ascii="Times New Roman" w:hAnsi="Times New Roman"/>
          <w:sz w:val="28"/>
        </w:rPr>
        <w:t>The analysis should include any factor (i.e., cost or benefit) that meets the following criteria:</w:t>
      </w:r>
    </w:p>
    <w:p w:rsidR="00D328EB" w:rsidRDefault="001E7E03">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Significant -- can be expected to have a meaningful economic impact on the utility’s investment decision or are relevant to the Commission’s approval decisions</w:t>
      </w:r>
    </w:p>
    <w:p w:rsidR="00D328EB" w:rsidRDefault="001E7E03">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Quantifiable and transparent -- can be reasonably and transparently quantified and monetized</w:t>
      </w:r>
    </w:p>
    <w:p w:rsidR="00D328EB" w:rsidRDefault="001E7E03">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Relevant -- is relevant to the analysis, specifically including the costs of achieving claimed benefits.</w:t>
      </w:r>
    </w:p>
    <w:p w:rsidR="001E7E03" w:rsidRDefault="001E7E03" w:rsidP="00A32480">
      <w:pPr>
        <w:tabs>
          <w:tab w:val="left" w:pos="360"/>
        </w:tabs>
        <w:spacing w:before="240"/>
        <w:rPr>
          <w:rFonts w:ascii="Times New Roman" w:hAnsi="Times New Roman"/>
          <w:sz w:val="28"/>
        </w:rPr>
      </w:pPr>
      <w:r w:rsidRPr="00DD0AE8">
        <w:rPr>
          <w:rFonts w:ascii="Times New Roman" w:hAnsi="Times New Roman"/>
          <w:sz w:val="28"/>
        </w:rPr>
        <w:t>Costs and benefits</w:t>
      </w:r>
      <w:r w:rsidR="00DB4197">
        <w:rPr>
          <w:rFonts w:ascii="Times New Roman" w:hAnsi="Times New Roman"/>
          <w:sz w:val="28"/>
        </w:rPr>
        <w:t xml:space="preserve"> should only be counted once; t</w:t>
      </w:r>
      <w:r>
        <w:rPr>
          <w:rFonts w:ascii="Times New Roman" w:hAnsi="Times New Roman"/>
          <w:sz w:val="28"/>
        </w:rPr>
        <w:t>here can be no double-counting of benefits</w:t>
      </w:r>
      <w:r w:rsidR="008C196A" w:rsidRPr="00DD0AE8">
        <w:rPr>
          <w:rFonts w:ascii="Times New Roman" w:hAnsi="Times New Roman"/>
          <w:sz w:val="28"/>
        </w:rPr>
        <w:t>.</w:t>
      </w:r>
      <w:r>
        <w:rPr>
          <w:rFonts w:ascii="Times New Roman" w:hAnsi="Times New Roman"/>
          <w:sz w:val="28"/>
        </w:rPr>
        <w:t xml:space="preserve">  </w:t>
      </w:r>
    </w:p>
    <w:p w:rsidR="00EC2F23" w:rsidRPr="00B94697" w:rsidRDefault="00EC2F23" w:rsidP="00A32480">
      <w:pPr>
        <w:tabs>
          <w:tab w:val="left" w:pos="360"/>
        </w:tabs>
        <w:spacing w:before="240"/>
        <w:rPr>
          <w:rFonts w:ascii="Times New Roman" w:hAnsi="Times New Roman"/>
          <w:sz w:val="28"/>
        </w:rPr>
      </w:pPr>
      <w:r>
        <w:rPr>
          <w:rFonts w:ascii="Times New Roman" w:hAnsi="Times New Roman"/>
          <w:sz w:val="28"/>
        </w:rPr>
        <w:t>All costs and benefits used in the analysis should be incremental to th</w:t>
      </w:r>
      <w:r w:rsidR="008B0184">
        <w:rPr>
          <w:rFonts w:ascii="Times New Roman" w:hAnsi="Times New Roman"/>
          <w:sz w:val="28"/>
        </w:rPr>
        <w:t>e investment when compared with a baseline or “business as usual”</w:t>
      </w:r>
      <w:r w:rsidR="00EF60F4">
        <w:rPr>
          <w:rFonts w:ascii="Times New Roman" w:hAnsi="Times New Roman"/>
          <w:sz w:val="28"/>
        </w:rPr>
        <w:t xml:space="preserve"> scenario.  The baseline</w:t>
      </w:r>
      <w:r w:rsidR="004972EB">
        <w:rPr>
          <w:rFonts w:ascii="Times New Roman" w:hAnsi="Times New Roman"/>
          <w:sz w:val="28"/>
        </w:rPr>
        <w:t xml:space="preserve"> scenario</w:t>
      </w:r>
      <w:r w:rsidR="00EF60F4">
        <w:rPr>
          <w:rFonts w:ascii="Times New Roman" w:hAnsi="Times New Roman"/>
          <w:sz w:val="28"/>
        </w:rPr>
        <w:t xml:space="preserve"> sh</w:t>
      </w:r>
      <w:r w:rsidR="00EF60F4" w:rsidRPr="00EF60F4">
        <w:rPr>
          <w:rFonts w:ascii="Times New Roman" w:hAnsi="Times New Roman"/>
          <w:sz w:val="28"/>
        </w:rPr>
        <w:t>ould reflect the related costs or benefits that would be anticipated if the investment were not made.</w:t>
      </w:r>
    </w:p>
    <w:p w:rsidR="00DB4197" w:rsidRPr="00DB4197" w:rsidRDefault="00DB4197" w:rsidP="00DB4197">
      <w:pPr>
        <w:spacing w:before="240"/>
        <w:ind w:left="360"/>
        <w:rPr>
          <w:rFonts w:ascii="Times New Roman" w:hAnsi="Times New Roman"/>
          <w:b/>
          <w:i/>
          <w:sz w:val="28"/>
        </w:rPr>
      </w:pPr>
      <w:r w:rsidRPr="00DB4197">
        <w:rPr>
          <w:rFonts w:ascii="Times New Roman" w:hAnsi="Times New Roman"/>
          <w:b/>
          <w:i/>
          <w:sz w:val="28"/>
        </w:rPr>
        <w:t>Uncertainties</w:t>
      </w:r>
    </w:p>
    <w:p w:rsidR="008C196A" w:rsidRPr="000815FD" w:rsidRDefault="00DB4197" w:rsidP="00DB4197">
      <w:pPr>
        <w:tabs>
          <w:tab w:val="left" w:pos="360"/>
        </w:tabs>
        <w:spacing w:before="240"/>
        <w:ind w:left="360"/>
        <w:rPr>
          <w:rFonts w:ascii="Times New Roman" w:hAnsi="Times New Roman"/>
          <w:sz w:val="28"/>
        </w:rPr>
      </w:pPr>
      <w:r>
        <w:rPr>
          <w:rFonts w:ascii="Times New Roman" w:hAnsi="Times New Roman"/>
          <w:sz w:val="28"/>
        </w:rPr>
        <w:t>S</w:t>
      </w:r>
      <w:r w:rsidRPr="00B94697">
        <w:rPr>
          <w:rFonts w:ascii="Times New Roman" w:hAnsi="Times New Roman"/>
          <w:sz w:val="28"/>
        </w:rPr>
        <w:t>ome factors in a cost-benefit analysis may have a high degree of variability and/or uncertainty.  Key assumptions underlying the analysis</w:t>
      </w:r>
      <w:r>
        <w:rPr>
          <w:rFonts w:ascii="Times New Roman" w:hAnsi="Times New Roman"/>
          <w:sz w:val="28"/>
        </w:rPr>
        <w:t>, including those that drive estimates of major cost components,</w:t>
      </w:r>
      <w:r w:rsidRPr="00B94697">
        <w:rPr>
          <w:rFonts w:ascii="Times New Roman" w:hAnsi="Times New Roman"/>
          <w:sz w:val="28"/>
        </w:rPr>
        <w:t xml:space="preserve"> should be clearly documented and the variability or uncertainty of estimates should be incorporated into those estimates</w:t>
      </w:r>
      <w:r>
        <w:rPr>
          <w:rFonts w:ascii="Times New Roman" w:hAnsi="Times New Roman"/>
          <w:sz w:val="28"/>
        </w:rPr>
        <w:t>.</w:t>
      </w:r>
      <w:r w:rsidRPr="00B94697">
        <w:rPr>
          <w:rFonts w:ascii="Times New Roman" w:hAnsi="Times New Roman"/>
          <w:sz w:val="28"/>
        </w:rPr>
        <w:t xml:space="preserve"> </w:t>
      </w:r>
      <w:r w:rsidRPr="00DD0AE8">
        <w:rPr>
          <w:rFonts w:ascii="Times New Roman" w:hAnsi="Times New Roman"/>
          <w:sz w:val="28"/>
        </w:rPr>
        <w:t xml:space="preserve">The </w:t>
      </w:r>
      <w:r w:rsidR="00F90DCD">
        <w:rPr>
          <w:rFonts w:ascii="Times New Roman" w:hAnsi="Times New Roman"/>
          <w:sz w:val="28"/>
        </w:rPr>
        <w:t>cost-benefit</w:t>
      </w:r>
      <w:r w:rsidRPr="00DD0AE8">
        <w:rPr>
          <w:rFonts w:ascii="Times New Roman" w:hAnsi="Times New Roman"/>
          <w:sz w:val="28"/>
        </w:rPr>
        <w:t xml:space="preserve"> analysis should discuss the uncertainties associated with estimates of costs and benefits over the term of the payback period.</w:t>
      </w:r>
    </w:p>
    <w:p w:rsidR="005B3F81" w:rsidRDefault="005B3F81" w:rsidP="005B3F81">
      <w:pPr>
        <w:spacing w:before="240"/>
        <w:ind w:left="360"/>
        <w:rPr>
          <w:rFonts w:ascii="Times New Roman" w:hAnsi="Times New Roman"/>
          <w:sz w:val="28"/>
        </w:rPr>
      </w:pPr>
      <w:r>
        <w:rPr>
          <w:rFonts w:ascii="Times New Roman" w:hAnsi="Times New Roman"/>
          <w:b/>
          <w:i/>
          <w:sz w:val="28"/>
        </w:rPr>
        <w:lastRenderedPageBreak/>
        <w:t>Treatment of Stranded Costs</w:t>
      </w:r>
    </w:p>
    <w:p w:rsidR="00DB4197" w:rsidRDefault="00F90DCD" w:rsidP="00DB4197">
      <w:pPr>
        <w:tabs>
          <w:tab w:val="left" w:pos="360"/>
        </w:tabs>
        <w:spacing w:before="240"/>
        <w:ind w:left="360"/>
        <w:rPr>
          <w:rFonts w:ascii="Times New Roman" w:hAnsi="Times New Roman"/>
          <w:sz w:val="28"/>
        </w:rPr>
      </w:pPr>
      <w:r>
        <w:rPr>
          <w:rFonts w:ascii="Times New Roman" w:hAnsi="Times New Roman"/>
          <w:sz w:val="28"/>
        </w:rPr>
        <w:t>This refers to the</w:t>
      </w:r>
      <w:r w:rsidR="00DB4197" w:rsidRPr="004D1F07">
        <w:rPr>
          <w:rFonts w:ascii="Times New Roman" w:hAnsi="Times New Roman"/>
          <w:sz w:val="28"/>
        </w:rPr>
        <w:t xml:space="preserve"> </w:t>
      </w:r>
      <w:r w:rsidR="00E170D7">
        <w:rPr>
          <w:rFonts w:ascii="Times New Roman" w:hAnsi="Times New Roman"/>
          <w:sz w:val="28"/>
        </w:rPr>
        <w:t xml:space="preserve">treatment </w:t>
      </w:r>
      <w:r w:rsidR="00DB4197" w:rsidRPr="004D1F07">
        <w:rPr>
          <w:rFonts w:ascii="Times New Roman" w:hAnsi="Times New Roman"/>
          <w:sz w:val="28"/>
        </w:rPr>
        <w:t xml:space="preserve">of existing assets </w:t>
      </w:r>
      <w:r w:rsidR="00E170D7">
        <w:rPr>
          <w:rFonts w:ascii="Times New Roman" w:hAnsi="Times New Roman"/>
          <w:sz w:val="28"/>
        </w:rPr>
        <w:t xml:space="preserve">retired before they have reached the end of their useful life and have been fully depreciated </w:t>
      </w:r>
      <w:r>
        <w:rPr>
          <w:rFonts w:ascii="Times New Roman" w:hAnsi="Times New Roman"/>
          <w:sz w:val="28"/>
        </w:rPr>
        <w:t>(the stranded costs).  The Collaborative discussed</w:t>
      </w:r>
      <w:r w:rsidR="00F30171">
        <w:rPr>
          <w:rFonts w:ascii="Times New Roman" w:hAnsi="Times New Roman"/>
          <w:sz w:val="28"/>
        </w:rPr>
        <w:t xml:space="preserve"> </w:t>
      </w:r>
      <w:r w:rsidR="00DB4197" w:rsidRPr="004D1F07">
        <w:rPr>
          <w:rFonts w:ascii="Times New Roman" w:hAnsi="Times New Roman"/>
          <w:sz w:val="28"/>
        </w:rPr>
        <w:t xml:space="preserve">whether </w:t>
      </w:r>
      <w:r>
        <w:rPr>
          <w:rFonts w:ascii="Times New Roman" w:hAnsi="Times New Roman"/>
          <w:sz w:val="28"/>
        </w:rPr>
        <w:t>stranded costs</w:t>
      </w:r>
      <w:r w:rsidRPr="004D1F07">
        <w:rPr>
          <w:rFonts w:ascii="Times New Roman" w:hAnsi="Times New Roman"/>
          <w:sz w:val="28"/>
        </w:rPr>
        <w:t xml:space="preserve"> </w:t>
      </w:r>
      <w:r w:rsidR="00DB4197" w:rsidRPr="004D1F07">
        <w:rPr>
          <w:rFonts w:ascii="Times New Roman" w:hAnsi="Times New Roman"/>
          <w:sz w:val="28"/>
        </w:rPr>
        <w:t>should be included or excluded from the cost-benefit analysis</w:t>
      </w:r>
      <w:r w:rsidR="00DB4197" w:rsidRPr="004D1F07">
        <w:rPr>
          <w:rFonts w:ascii="Times New Roman" w:hAnsi="Times New Roman"/>
          <w:b/>
          <w:sz w:val="28"/>
        </w:rPr>
        <w:t xml:space="preserve">.  </w:t>
      </w:r>
      <w:r w:rsidR="00DB4197" w:rsidRPr="004D1F07">
        <w:rPr>
          <w:rFonts w:ascii="Times New Roman" w:hAnsi="Times New Roman"/>
          <w:sz w:val="28"/>
        </w:rPr>
        <w:t xml:space="preserve">In a strictly economic sense, these </w:t>
      </w:r>
      <w:r w:rsidR="007671EC">
        <w:rPr>
          <w:rFonts w:ascii="Times New Roman" w:hAnsi="Times New Roman"/>
          <w:sz w:val="28"/>
        </w:rPr>
        <w:t xml:space="preserve">stranded assets </w:t>
      </w:r>
      <w:r w:rsidR="00DB4197" w:rsidRPr="004D1F07">
        <w:rPr>
          <w:rFonts w:ascii="Times New Roman" w:hAnsi="Times New Roman"/>
          <w:sz w:val="28"/>
        </w:rPr>
        <w:t xml:space="preserve">represent sunk costs since the investment is in the past and the investment in a new technology should be evaluated on its own merits.  However, from a cost recovery standpoint these investments are being recovered in rate base </w:t>
      </w:r>
      <w:r w:rsidR="00DB4197" w:rsidRPr="00DD0AE8">
        <w:rPr>
          <w:rFonts w:ascii="Times New Roman" w:hAnsi="Times New Roman"/>
          <w:sz w:val="28"/>
        </w:rPr>
        <w:t xml:space="preserve">and are not fully “paid for” – although they have been “paid for” in a procurement/economic sense.  The magnitude of resulting stranded investments may bear on the prudence of the investment decision for regulatory purposes.  </w:t>
      </w:r>
      <w:r w:rsidR="00DB4197">
        <w:rPr>
          <w:rFonts w:ascii="Times New Roman" w:hAnsi="Times New Roman"/>
          <w:sz w:val="28"/>
        </w:rPr>
        <w:t>The cost-benefit analysis should recognize as a separate line item any stranded costs that would result from the smart grid investment.</w:t>
      </w:r>
    </w:p>
    <w:p w:rsidR="00A32480" w:rsidRPr="00A32480" w:rsidRDefault="00A32480" w:rsidP="00A32480">
      <w:pPr>
        <w:spacing w:before="240"/>
        <w:ind w:left="360"/>
        <w:rPr>
          <w:rFonts w:ascii="Times New Roman" w:hAnsi="Times New Roman"/>
          <w:b/>
          <w:i/>
          <w:sz w:val="28"/>
        </w:rPr>
      </w:pPr>
      <w:r w:rsidRPr="00A32480">
        <w:rPr>
          <w:rFonts w:ascii="Times New Roman" w:hAnsi="Times New Roman"/>
          <w:b/>
          <w:i/>
          <w:sz w:val="28"/>
        </w:rPr>
        <w:t>Implementation Timing</w:t>
      </w:r>
    </w:p>
    <w:p w:rsidR="00A32480" w:rsidRPr="00DD0AE8" w:rsidRDefault="00EB6A36" w:rsidP="00A32480">
      <w:pPr>
        <w:tabs>
          <w:tab w:val="left" w:pos="360"/>
        </w:tabs>
        <w:spacing w:before="240"/>
        <w:ind w:left="360"/>
        <w:rPr>
          <w:rFonts w:ascii="Times New Roman" w:hAnsi="Times New Roman"/>
          <w:sz w:val="28"/>
        </w:rPr>
      </w:pPr>
      <w:r>
        <w:rPr>
          <w:rFonts w:ascii="Times New Roman" w:hAnsi="Times New Roman"/>
          <w:sz w:val="28"/>
        </w:rPr>
        <w:t>Smart g</w:t>
      </w:r>
      <w:r w:rsidR="00A32480" w:rsidRPr="00DD0AE8">
        <w:rPr>
          <w:rFonts w:ascii="Times New Roman" w:hAnsi="Times New Roman"/>
          <w:sz w:val="28"/>
        </w:rPr>
        <w:t xml:space="preserve">rid technologies and implementation methods can reasonably be expected to improve in efficacy and scope over time, while costs of the equipment and technologies may reasonably be expected to change over time.  Thus, the relative costs and benefits of </w:t>
      </w:r>
      <w:r>
        <w:rPr>
          <w:rFonts w:ascii="Times New Roman" w:hAnsi="Times New Roman"/>
          <w:sz w:val="28"/>
        </w:rPr>
        <w:t>smart grid</w:t>
      </w:r>
      <w:r w:rsidR="00A32480" w:rsidRPr="00DD0AE8">
        <w:rPr>
          <w:rFonts w:ascii="Times New Roman" w:hAnsi="Times New Roman"/>
          <w:sz w:val="28"/>
        </w:rPr>
        <w:t xml:space="preserve"> investments and approaches will depend on the timing of implementation.  To the extent that they are known or can reasonably be anticipated, a cost-benefit assessment of </w:t>
      </w:r>
      <w:r>
        <w:rPr>
          <w:rFonts w:ascii="Times New Roman" w:hAnsi="Times New Roman"/>
          <w:sz w:val="28"/>
        </w:rPr>
        <w:t>smart grid</w:t>
      </w:r>
      <w:r w:rsidR="00A32480" w:rsidRPr="00DD0AE8">
        <w:rPr>
          <w:rFonts w:ascii="Times New Roman" w:hAnsi="Times New Roman"/>
          <w:sz w:val="28"/>
        </w:rPr>
        <w:t xml:space="preserve"> investments and approaches should include discussion of the potential change in benefits and costs that may occur over time assuming various implementation schedules.</w:t>
      </w:r>
    </w:p>
    <w:p w:rsidR="00A32480" w:rsidRPr="00A32480" w:rsidRDefault="00A32480" w:rsidP="00A32480">
      <w:pPr>
        <w:spacing w:before="240"/>
        <w:ind w:left="360"/>
        <w:rPr>
          <w:rFonts w:ascii="Times New Roman" w:hAnsi="Times New Roman"/>
          <w:b/>
          <w:i/>
          <w:sz w:val="28"/>
        </w:rPr>
      </w:pPr>
      <w:r w:rsidRPr="00A32480">
        <w:rPr>
          <w:rFonts w:ascii="Times New Roman" w:hAnsi="Times New Roman"/>
          <w:b/>
          <w:i/>
          <w:sz w:val="28"/>
        </w:rPr>
        <w:t>Pot</w:t>
      </w:r>
      <w:r w:rsidR="009400CC">
        <w:rPr>
          <w:rFonts w:ascii="Times New Roman" w:hAnsi="Times New Roman"/>
          <w:b/>
          <w:i/>
          <w:sz w:val="28"/>
        </w:rPr>
        <w:t>ential Overlap with Statutorily-</w:t>
      </w:r>
      <w:r w:rsidRPr="00A32480">
        <w:rPr>
          <w:rFonts w:ascii="Times New Roman" w:hAnsi="Times New Roman"/>
          <w:b/>
          <w:i/>
          <w:sz w:val="28"/>
        </w:rPr>
        <w:t>Required Energy Efficiency and Demand Response Programs</w:t>
      </w:r>
    </w:p>
    <w:p w:rsidR="00A32480" w:rsidRPr="00DD0AE8" w:rsidRDefault="00A32480" w:rsidP="00A32480">
      <w:pPr>
        <w:tabs>
          <w:tab w:val="left" w:pos="360"/>
        </w:tabs>
        <w:spacing w:before="240"/>
        <w:ind w:left="360"/>
        <w:rPr>
          <w:rFonts w:ascii="Times New Roman" w:hAnsi="Times New Roman"/>
          <w:sz w:val="28"/>
        </w:rPr>
      </w:pPr>
      <w:r w:rsidRPr="00350DF2">
        <w:rPr>
          <w:rFonts w:ascii="Times New Roman" w:hAnsi="Times New Roman"/>
          <w:sz w:val="28"/>
        </w:rPr>
        <w:t>Costs and bene</w:t>
      </w:r>
      <w:r w:rsidR="009400CC">
        <w:rPr>
          <w:rFonts w:ascii="Times New Roman" w:hAnsi="Times New Roman"/>
          <w:sz w:val="28"/>
        </w:rPr>
        <w:t>fits resulting from statutorily-</w:t>
      </w:r>
      <w:r w:rsidRPr="00350DF2">
        <w:rPr>
          <w:rFonts w:ascii="Times New Roman" w:hAnsi="Times New Roman"/>
          <w:sz w:val="28"/>
        </w:rPr>
        <w:t xml:space="preserve">required energy efficiency and demand response measures and programs should be identified and accounted for separately from costs and benefits associated with smart grid investments. Any amounts charged </w:t>
      </w:r>
      <w:r>
        <w:rPr>
          <w:rFonts w:ascii="Times New Roman" w:hAnsi="Times New Roman"/>
          <w:sz w:val="28"/>
        </w:rPr>
        <w:t xml:space="preserve">(or benefits flowing) </w:t>
      </w:r>
      <w:r w:rsidR="009400CC">
        <w:rPr>
          <w:rFonts w:ascii="Times New Roman" w:hAnsi="Times New Roman"/>
          <w:sz w:val="28"/>
        </w:rPr>
        <w:t>to customers for statutorily-</w:t>
      </w:r>
      <w:r w:rsidRPr="00350DF2">
        <w:rPr>
          <w:rFonts w:ascii="Times New Roman" w:hAnsi="Times New Roman"/>
          <w:sz w:val="28"/>
        </w:rPr>
        <w:t xml:space="preserve">required measures and programs should be separated from any amounts charged </w:t>
      </w:r>
      <w:r>
        <w:rPr>
          <w:rFonts w:ascii="Times New Roman" w:hAnsi="Times New Roman"/>
          <w:sz w:val="28"/>
        </w:rPr>
        <w:t xml:space="preserve">(or </w:t>
      </w:r>
      <w:r>
        <w:rPr>
          <w:rFonts w:ascii="Times New Roman" w:hAnsi="Times New Roman"/>
          <w:sz w:val="28"/>
        </w:rPr>
        <w:lastRenderedPageBreak/>
        <w:t xml:space="preserve">benefits flowing) </w:t>
      </w:r>
      <w:r w:rsidRPr="00350DF2">
        <w:rPr>
          <w:rFonts w:ascii="Times New Roman" w:hAnsi="Times New Roman"/>
          <w:sz w:val="28"/>
        </w:rPr>
        <w:t>to customers for smart grid investments when calculated and itemized.</w:t>
      </w:r>
    </w:p>
    <w:p w:rsidR="00A32480" w:rsidRPr="00A32480" w:rsidRDefault="00A32480" w:rsidP="00A32480">
      <w:pPr>
        <w:spacing w:before="240"/>
        <w:ind w:left="360"/>
        <w:rPr>
          <w:rFonts w:ascii="Times New Roman" w:hAnsi="Times New Roman"/>
          <w:b/>
          <w:i/>
          <w:sz w:val="28"/>
        </w:rPr>
      </w:pPr>
      <w:r>
        <w:rPr>
          <w:rFonts w:ascii="Times New Roman" w:hAnsi="Times New Roman"/>
          <w:b/>
          <w:i/>
          <w:sz w:val="28"/>
        </w:rPr>
        <w:t>Alternative Approaches</w:t>
      </w:r>
    </w:p>
    <w:p w:rsidR="00A32480" w:rsidRPr="00DD0AE8" w:rsidRDefault="00A32480" w:rsidP="00A32480">
      <w:pPr>
        <w:tabs>
          <w:tab w:val="left" w:pos="360"/>
        </w:tabs>
        <w:spacing w:before="240"/>
        <w:ind w:left="360"/>
        <w:rPr>
          <w:rFonts w:ascii="Times New Roman" w:hAnsi="Times New Roman"/>
          <w:sz w:val="28"/>
        </w:rPr>
      </w:pPr>
      <w:r w:rsidRPr="00DD0AE8">
        <w:rPr>
          <w:rFonts w:ascii="Times New Roman" w:hAnsi="Times New Roman"/>
          <w:sz w:val="28"/>
        </w:rPr>
        <w:t xml:space="preserve">A cost-benefit assessment of </w:t>
      </w:r>
      <w:r w:rsidR="00EB6A36">
        <w:rPr>
          <w:rFonts w:ascii="Times New Roman" w:hAnsi="Times New Roman"/>
          <w:sz w:val="28"/>
        </w:rPr>
        <w:t>smart grid</w:t>
      </w:r>
      <w:r w:rsidRPr="00DD0AE8">
        <w:rPr>
          <w:rFonts w:ascii="Times New Roman" w:hAnsi="Times New Roman"/>
          <w:sz w:val="28"/>
        </w:rPr>
        <w:t xml:space="preserve"> investments and approaches should include identification and discussion of other investments or approaches (if any) that reasonably might achieve similar results.  To the extent those expected benefits can be achieved through other investments or approaches, assessment of the incremental costs and incremental benefits of </w:t>
      </w:r>
      <w:r w:rsidR="00EB6A36">
        <w:rPr>
          <w:rFonts w:ascii="Times New Roman" w:hAnsi="Times New Roman"/>
          <w:sz w:val="28"/>
        </w:rPr>
        <w:t>smart grid</w:t>
      </w:r>
      <w:r w:rsidRPr="00DD0AE8">
        <w:rPr>
          <w:rFonts w:ascii="Times New Roman" w:hAnsi="Times New Roman"/>
          <w:sz w:val="28"/>
        </w:rPr>
        <w:t xml:space="preserve"> investments or approaches should be done relative to the cost and benefit of such investments or approaches, so as to identify and isolate the “extra” costs and benefits attributable to </w:t>
      </w:r>
      <w:r w:rsidR="00EB6A36">
        <w:rPr>
          <w:rFonts w:ascii="Times New Roman" w:hAnsi="Times New Roman"/>
          <w:sz w:val="28"/>
        </w:rPr>
        <w:t>smart grid</w:t>
      </w:r>
      <w:r w:rsidRPr="00DD0AE8">
        <w:rPr>
          <w:rFonts w:ascii="Times New Roman" w:hAnsi="Times New Roman"/>
          <w:sz w:val="28"/>
        </w:rPr>
        <w:t>, if any.</w:t>
      </w:r>
    </w:p>
    <w:p w:rsidR="00A32480" w:rsidRPr="0098026D" w:rsidRDefault="00A32480" w:rsidP="00A32480">
      <w:pPr>
        <w:tabs>
          <w:tab w:val="left" w:pos="360"/>
        </w:tabs>
        <w:spacing w:before="240"/>
        <w:rPr>
          <w:rFonts w:ascii="Times New Roman" w:hAnsi="Times New Roman"/>
          <w:sz w:val="28"/>
          <w:szCs w:val="28"/>
          <w:highlight w:val="yellow"/>
        </w:rPr>
      </w:pPr>
    </w:p>
    <w:p w:rsidR="007E1617" w:rsidRPr="000F2E7D" w:rsidRDefault="007E1617" w:rsidP="000F2E7D">
      <w:pPr>
        <w:tabs>
          <w:tab w:val="left" w:pos="360"/>
        </w:tabs>
        <w:spacing w:before="240"/>
        <w:ind w:left="360"/>
        <w:jc w:val="center"/>
        <w:rPr>
          <w:rFonts w:ascii="Times New Roman" w:hAnsi="Times New Roman"/>
          <w:sz w:val="24"/>
        </w:rPr>
      </w:pPr>
      <w:r w:rsidRPr="00DD0AE8">
        <w:rPr>
          <w:rFonts w:ascii="Times New Roman" w:hAnsi="Times New Roman"/>
          <w:b/>
          <w:sz w:val="40"/>
        </w:rPr>
        <w:br w:type="page"/>
      </w:r>
      <w:r w:rsidRPr="000F2E7D">
        <w:rPr>
          <w:rFonts w:ascii="Times New Roman" w:hAnsi="Times New Roman"/>
          <w:b/>
          <w:sz w:val="36"/>
        </w:rPr>
        <w:lastRenderedPageBreak/>
        <w:t>Cost-Benefit Analysis Mechanics &amp; Assumptions</w:t>
      </w:r>
    </w:p>
    <w:p w:rsidR="007E1617" w:rsidRPr="00DD0AE8" w:rsidRDefault="007E1617">
      <w:pPr>
        <w:spacing w:before="240"/>
        <w:rPr>
          <w:rFonts w:ascii="Times New Roman" w:hAnsi="Times New Roman"/>
          <w:b/>
          <w:sz w:val="28"/>
        </w:rPr>
      </w:pPr>
      <w:r w:rsidRPr="00DD0AE8">
        <w:rPr>
          <w:rFonts w:ascii="Times New Roman" w:hAnsi="Times New Roman"/>
          <w:sz w:val="28"/>
        </w:rPr>
        <w:t xml:space="preserve">This section contains identification and discussion of issues </w:t>
      </w:r>
      <w:r w:rsidR="00A32480">
        <w:rPr>
          <w:rFonts w:ascii="Times New Roman" w:hAnsi="Times New Roman"/>
          <w:sz w:val="28"/>
        </w:rPr>
        <w:t>related to the analysis itself and the s</w:t>
      </w:r>
      <w:r w:rsidRPr="00DD0AE8">
        <w:rPr>
          <w:rFonts w:ascii="Times New Roman" w:hAnsi="Times New Roman"/>
          <w:sz w:val="28"/>
        </w:rPr>
        <w:t>pecific assumptions and inputs requ</w:t>
      </w:r>
      <w:r w:rsidR="00A32480">
        <w:rPr>
          <w:rFonts w:ascii="Times New Roman" w:hAnsi="Times New Roman"/>
          <w:sz w:val="28"/>
        </w:rPr>
        <w:t>ired in performing the analysis</w:t>
      </w:r>
      <w:r w:rsidRPr="00DD0AE8">
        <w:rPr>
          <w:rFonts w:ascii="Times New Roman" w:hAnsi="Times New Roman"/>
          <w:sz w:val="28"/>
        </w:rPr>
        <w:t>.  The following issues were discussed in the Collaborative and are included in this section:</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Multiple Views/Perspectives</w:t>
      </w:r>
    </w:p>
    <w:p w:rsidR="00D328EB" w:rsidRDefault="008829D4">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Sensitivity Analysis</w:t>
      </w:r>
    </w:p>
    <w:p w:rsidR="00D328EB" w:rsidRDefault="00371C4F">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Benefits Dependent on Penetration Levels and/or Changes in Customer Behavior </w:t>
      </w:r>
    </w:p>
    <w:p w:rsidR="00D328EB" w:rsidRDefault="007E1617">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Appropriate Timeframe for Cost-Benefit Analyses</w:t>
      </w:r>
    </w:p>
    <w:p w:rsidR="00D328EB" w:rsidRDefault="00D93DDD">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Treatment of Smart Grid Applications with Shared Infrastructure Investments</w:t>
      </w:r>
    </w:p>
    <w:p w:rsidR="00795623" w:rsidRDefault="00795623" w:rsidP="00795623">
      <w:pPr>
        <w:spacing w:before="240"/>
        <w:rPr>
          <w:rFonts w:ascii="Times New Roman" w:hAnsi="Times New Roman"/>
          <w:b/>
          <w:sz w:val="28"/>
        </w:rPr>
      </w:pPr>
      <w:r>
        <w:rPr>
          <w:rFonts w:ascii="Times New Roman" w:hAnsi="Times New Roman"/>
          <w:b/>
          <w:sz w:val="28"/>
        </w:rPr>
        <w:t>Introduction</w:t>
      </w:r>
    </w:p>
    <w:p w:rsidR="00795623" w:rsidRDefault="00795623" w:rsidP="00795623">
      <w:pPr>
        <w:spacing w:before="240"/>
        <w:rPr>
          <w:rFonts w:ascii="Times New Roman" w:hAnsi="Times New Roman"/>
          <w:sz w:val="28"/>
        </w:rPr>
      </w:pPr>
      <w:r>
        <w:rPr>
          <w:rFonts w:ascii="Times New Roman" w:hAnsi="Times New Roman"/>
          <w:sz w:val="28"/>
        </w:rPr>
        <w:t>One of the challenges associated with performing cost-benefit analysis of smar</w:t>
      </w:r>
      <w:r w:rsidR="000F2E7D">
        <w:rPr>
          <w:rFonts w:ascii="Times New Roman" w:hAnsi="Times New Roman"/>
          <w:sz w:val="28"/>
        </w:rPr>
        <w:t>t grid investments is that the investment</w:t>
      </w:r>
      <w:r>
        <w:rPr>
          <w:rFonts w:ascii="Times New Roman" w:hAnsi="Times New Roman"/>
          <w:sz w:val="28"/>
        </w:rPr>
        <w:t xml:space="preserve"> required may involve parties in addition to the utility.  For example, some programs requiring an “in-premises device” contemplate having the customer or third party make this initial investment.  Similarly, the benefits realized by a smart grid investment may extend well beyond the boundaries of the investing utility and its customers to third parties or society as a whole.  Finally, the benefits realized by a “participant” in a smart grid application/program may be different from those of a “non-participant.”  </w:t>
      </w:r>
      <w:r w:rsidR="000A7C63" w:rsidRPr="00DD0AE8">
        <w:rPr>
          <w:rFonts w:ascii="Times New Roman" w:hAnsi="Times New Roman"/>
          <w:sz w:val="28"/>
        </w:rPr>
        <w:t>From a cost-benefit perspective, this is different from most traditional analyses in which the potential investor incurs the full cost and the investment decision is based on the cash flows that are expected to revert directly back to the investor.</w:t>
      </w:r>
      <w:r w:rsidR="000A7C63">
        <w:rPr>
          <w:rFonts w:ascii="Times New Roman" w:hAnsi="Times New Roman"/>
          <w:sz w:val="28"/>
        </w:rPr>
        <w:t xml:space="preserve"> </w:t>
      </w:r>
      <w:r>
        <w:rPr>
          <w:rFonts w:ascii="Times New Roman" w:hAnsi="Times New Roman"/>
          <w:sz w:val="28"/>
        </w:rPr>
        <w:t>This lack of congruity between the investor and the beneficiary adds a level of complexity to smart grid cost-benefit analysis</w:t>
      </w:r>
      <w:r w:rsidR="00A14890">
        <w:rPr>
          <w:rFonts w:ascii="Times New Roman" w:hAnsi="Times New Roman"/>
          <w:sz w:val="28"/>
        </w:rPr>
        <w:t>.</w:t>
      </w:r>
    </w:p>
    <w:p w:rsidR="00A14890" w:rsidRDefault="00A14890" w:rsidP="00795623">
      <w:pPr>
        <w:spacing w:before="240"/>
        <w:rPr>
          <w:rFonts w:ascii="Times New Roman" w:hAnsi="Times New Roman"/>
          <w:sz w:val="28"/>
        </w:rPr>
      </w:pPr>
      <w:r>
        <w:rPr>
          <w:rFonts w:ascii="Times New Roman" w:hAnsi="Times New Roman"/>
          <w:sz w:val="28"/>
        </w:rPr>
        <w:t xml:space="preserve">The cost-benefit evaluation of demand-side management programs shares many of the same challenges as the evaluation of smart grid programs – a complexity that has been addressed in that arena by analyzing the investment from a series of vantage points or perspectives.  The Collaborative turned to the legacy of </w:t>
      </w:r>
      <w:r w:rsidR="009400CC">
        <w:rPr>
          <w:rFonts w:ascii="Times New Roman" w:hAnsi="Times New Roman"/>
          <w:sz w:val="28"/>
        </w:rPr>
        <w:t>demand-</w:t>
      </w:r>
      <w:r w:rsidR="009400CC">
        <w:rPr>
          <w:rFonts w:ascii="Times New Roman" w:hAnsi="Times New Roman"/>
          <w:sz w:val="28"/>
        </w:rPr>
        <w:lastRenderedPageBreak/>
        <w:t>side management (</w:t>
      </w:r>
      <w:r>
        <w:rPr>
          <w:rFonts w:ascii="Times New Roman" w:hAnsi="Times New Roman"/>
          <w:sz w:val="28"/>
        </w:rPr>
        <w:t>DSM</w:t>
      </w:r>
      <w:r w:rsidR="009400CC">
        <w:rPr>
          <w:rFonts w:ascii="Times New Roman" w:hAnsi="Times New Roman"/>
          <w:sz w:val="28"/>
        </w:rPr>
        <w:t>)</w:t>
      </w:r>
      <w:r>
        <w:rPr>
          <w:rFonts w:ascii="Times New Roman" w:hAnsi="Times New Roman"/>
          <w:sz w:val="28"/>
        </w:rPr>
        <w:t xml:space="preserve"> program evaluation as a starting place in the development of a smart grid cost-benefit framework.</w:t>
      </w:r>
    </w:p>
    <w:p w:rsidR="005B3F81" w:rsidRPr="00DD0AE8" w:rsidRDefault="005B3F81" w:rsidP="005B3F81">
      <w:pPr>
        <w:spacing w:before="240"/>
        <w:rPr>
          <w:rFonts w:ascii="Times New Roman" w:hAnsi="Times New Roman"/>
          <w:b/>
          <w:sz w:val="28"/>
        </w:rPr>
      </w:pPr>
      <w:r w:rsidRPr="00DD0AE8">
        <w:rPr>
          <w:rFonts w:ascii="Times New Roman" w:hAnsi="Times New Roman"/>
          <w:b/>
          <w:sz w:val="28"/>
        </w:rPr>
        <w:t>Multiple Views/Perspectives</w:t>
      </w:r>
    </w:p>
    <w:p w:rsidR="005B3F81" w:rsidRPr="00DD0AE8" w:rsidRDefault="005B3F81" w:rsidP="005B3F81">
      <w:pPr>
        <w:spacing w:before="240"/>
        <w:rPr>
          <w:rFonts w:ascii="Times New Roman" w:hAnsi="Times New Roman"/>
          <w:sz w:val="28"/>
        </w:rPr>
      </w:pPr>
      <w:r w:rsidRPr="00DD0AE8">
        <w:rPr>
          <w:rFonts w:ascii="Times New Roman" w:hAnsi="Times New Roman"/>
          <w:sz w:val="28"/>
        </w:rPr>
        <w:t xml:space="preserve">There is a considerable body of work that exists for evaluating DSM and energy efficiency programs according to different perspectives.  Perhaps the definitive source in this area is the </w:t>
      </w:r>
      <w:r w:rsidRPr="00DD0AE8">
        <w:rPr>
          <w:rFonts w:ascii="Times New Roman" w:hAnsi="Times New Roman"/>
          <w:i/>
          <w:sz w:val="28"/>
        </w:rPr>
        <w:t>California Standard Practice Manual:  Economic Analysis of Demand-Side Programs and Projects</w:t>
      </w:r>
      <w:r w:rsidRPr="00DD0AE8">
        <w:rPr>
          <w:rFonts w:ascii="Times New Roman" w:hAnsi="Times New Roman"/>
          <w:sz w:val="28"/>
        </w:rPr>
        <w:t xml:space="preserve"> most recently produced by the California Energy Commission in October 2001 (with predecessor documents going back to 1983).  While portions of this work may not be directly applicable to some </w:t>
      </w:r>
      <w:r w:rsidR="00EB6A36">
        <w:rPr>
          <w:rFonts w:ascii="Times New Roman" w:hAnsi="Times New Roman"/>
          <w:sz w:val="28"/>
        </w:rPr>
        <w:t>smart grid</w:t>
      </w:r>
      <w:r w:rsidRPr="00DD0AE8">
        <w:rPr>
          <w:rFonts w:ascii="Times New Roman" w:hAnsi="Times New Roman"/>
          <w:sz w:val="28"/>
        </w:rPr>
        <w:t xml:space="preserve"> investments, many of these concepts are being applied to </w:t>
      </w:r>
      <w:r w:rsidR="00EB6A36">
        <w:rPr>
          <w:rFonts w:ascii="Times New Roman" w:hAnsi="Times New Roman"/>
          <w:sz w:val="28"/>
        </w:rPr>
        <w:t>smart grid</w:t>
      </w:r>
      <w:r w:rsidRPr="00DD0AE8">
        <w:rPr>
          <w:rFonts w:ascii="Times New Roman" w:hAnsi="Times New Roman"/>
          <w:sz w:val="28"/>
        </w:rPr>
        <w:t xml:space="preserve"> by forerunners and experts in the field.  In fact, EPRI’s </w:t>
      </w:r>
      <w:r w:rsidRPr="00DD0AE8">
        <w:rPr>
          <w:rFonts w:ascii="Times New Roman" w:hAnsi="Times New Roman"/>
          <w:i/>
          <w:sz w:val="28"/>
        </w:rPr>
        <w:t>Methodological Approach for Estimating the Benefits and Costs of Smart Grid Demonstration Projects</w:t>
      </w:r>
      <w:r w:rsidRPr="00DD0AE8">
        <w:rPr>
          <w:rFonts w:ascii="Times New Roman" w:hAnsi="Times New Roman"/>
          <w:sz w:val="28"/>
        </w:rPr>
        <w:t xml:space="preserve"> </w:t>
      </w:r>
      <w:r w:rsidR="00A55ACA">
        <w:rPr>
          <w:rFonts w:ascii="Times New Roman" w:hAnsi="Times New Roman"/>
          <w:sz w:val="28"/>
        </w:rPr>
        <w:t>(</w:t>
      </w:r>
      <w:r w:rsidRPr="00DD0AE8">
        <w:rPr>
          <w:rFonts w:ascii="Times New Roman" w:hAnsi="Times New Roman"/>
          <w:sz w:val="28"/>
        </w:rPr>
        <w:t>January</w:t>
      </w:r>
      <w:r w:rsidR="00A55ACA">
        <w:rPr>
          <w:rFonts w:ascii="Times New Roman" w:hAnsi="Times New Roman"/>
          <w:sz w:val="28"/>
        </w:rPr>
        <w:t>,</w:t>
      </w:r>
      <w:r w:rsidRPr="00DD0AE8">
        <w:rPr>
          <w:rFonts w:ascii="Times New Roman" w:hAnsi="Times New Roman"/>
          <w:sz w:val="28"/>
        </w:rPr>
        <w:t xml:space="preserve"> 2010</w:t>
      </w:r>
      <w:r w:rsidR="00A55ACA">
        <w:rPr>
          <w:rFonts w:ascii="Times New Roman" w:hAnsi="Times New Roman"/>
          <w:sz w:val="28"/>
        </w:rPr>
        <w:t>)</w:t>
      </w:r>
      <w:r w:rsidRPr="00DD0AE8">
        <w:rPr>
          <w:rFonts w:ascii="Times New Roman" w:hAnsi="Times New Roman"/>
          <w:sz w:val="28"/>
        </w:rPr>
        <w:t xml:space="preserve"> recommends directly applying the tests and calculations from the California Standard Practice Manual to evaluation of the projects receiving funds from DOE’s Smart Grid Investment Grant</w:t>
      </w:r>
      <w:r w:rsidR="00A55ACA">
        <w:rPr>
          <w:rFonts w:ascii="Times New Roman" w:hAnsi="Times New Roman"/>
          <w:sz w:val="28"/>
        </w:rPr>
        <w:t xml:space="preserve"> program.  At least some of its</w:t>
      </w:r>
      <w:r w:rsidRPr="00DD0AE8">
        <w:rPr>
          <w:rFonts w:ascii="Times New Roman" w:hAnsi="Times New Roman"/>
          <w:sz w:val="28"/>
        </w:rPr>
        <w:t xml:space="preserve"> rationale for this is that “in general, these tests are applicable to smart grid evaluations, because a major driver of smart grid benefits will be avoided supply side costs realized through demand reductions, and assessing these impacts was the original driver behind the development of these models.”</w:t>
      </w:r>
      <w:r w:rsidRPr="00806E80">
        <w:rPr>
          <w:rFonts w:ascii="Times New Roman" w:eastAsia="+mn-ea" w:hAnsi="Times New Roman"/>
          <w:color w:val="000000"/>
          <w:sz w:val="28"/>
          <w:szCs w:val="28"/>
          <w:vertAlign w:val="superscript"/>
        </w:rPr>
        <w:footnoteReference w:id="7"/>
      </w:r>
    </w:p>
    <w:p w:rsidR="005B3F81" w:rsidRPr="00DD0AE8" w:rsidRDefault="005B3F81" w:rsidP="005B3F81">
      <w:pPr>
        <w:spacing w:before="240"/>
        <w:rPr>
          <w:rFonts w:ascii="Times New Roman" w:hAnsi="Times New Roman"/>
          <w:sz w:val="28"/>
        </w:rPr>
      </w:pPr>
      <w:r w:rsidRPr="00DD0AE8">
        <w:rPr>
          <w:rFonts w:ascii="Times New Roman" w:hAnsi="Times New Roman"/>
          <w:sz w:val="28"/>
        </w:rPr>
        <w:t>Within the context of DSM and energy efficiency, many state jurisdictions require multiple perspectives to be presented (i.e., multiple tests performed), regardless of the test (or tests) that are ultimately relied upon for decision-making.</w:t>
      </w:r>
      <w:r>
        <w:rPr>
          <w:rFonts w:ascii="Times New Roman" w:hAnsi="Times New Roman"/>
          <w:sz w:val="28"/>
        </w:rPr>
        <w:t xml:space="preserve">  </w:t>
      </w:r>
      <w:r w:rsidRPr="00DD0AE8">
        <w:rPr>
          <w:rFonts w:ascii="Times New Roman" w:hAnsi="Times New Roman"/>
          <w:sz w:val="28"/>
        </w:rPr>
        <w:t>The different combinations of costs and benefits could con</w:t>
      </w:r>
      <w:r w:rsidR="00A55ACA">
        <w:rPr>
          <w:rFonts w:ascii="Times New Roman" w:hAnsi="Times New Roman"/>
          <w:sz w:val="28"/>
        </w:rPr>
        <w:t>ceivably result in certain smart grid</w:t>
      </w:r>
      <w:r w:rsidRPr="00DD0AE8">
        <w:rPr>
          <w:rFonts w:ascii="Times New Roman" w:hAnsi="Times New Roman"/>
          <w:sz w:val="28"/>
        </w:rPr>
        <w:t xml:space="preserve"> applications “passing” according to some views/perspectives, but not others – which </w:t>
      </w:r>
      <w:r>
        <w:rPr>
          <w:rFonts w:ascii="Times New Roman" w:hAnsi="Times New Roman"/>
          <w:sz w:val="28"/>
        </w:rPr>
        <w:t>l</w:t>
      </w:r>
      <w:r w:rsidRPr="00DD0AE8">
        <w:rPr>
          <w:rFonts w:ascii="Times New Roman" w:hAnsi="Times New Roman"/>
          <w:sz w:val="28"/>
        </w:rPr>
        <w:t xml:space="preserve">eads to questions surrounding which views/perspectives to weigh more heavily. There was a specific concern addressed by some Collaborative participants that </w:t>
      </w:r>
      <w:r w:rsidR="00EB6A36">
        <w:rPr>
          <w:rFonts w:ascii="Times New Roman" w:hAnsi="Times New Roman"/>
          <w:sz w:val="28"/>
        </w:rPr>
        <w:t>smart grid</w:t>
      </w:r>
      <w:r w:rsidRPr="00DD0AE8">
        <w:rPr>
          <w:rFonts w:ascii="Times New Roman" w:hAnsi="Times New Roman"/>
          <w:sz w:val="28"/>
        </w:rPr>
        <w:t xml:space="preserve"> investments that were deemed uneconomic according to other views/perspectives would be implemented based solely on a view/perspective that included societal benefits. </w:t>
      </w:r>
    </w:p>
    <w:p w:rsidR="005B3F81" w:rsidRPr="00DD0AE8" w:rsidRDefault="005B3F81" w:rsidP="005B3F81">
      <w:pPr>
        <w:spacing w:before="240"/>
        <w:rPr>
          <w:rFonts w:ascii="Times New Roman" w:hAnsi="Times New Roman"/>
          <w:sz w:val="28"/>
        </w:rPr>
      </w:pPr>
      <w:r w:rsidRPr="00DD0AE8">
        <w:rPr>
          <w:rFonts w:ascii="Times New Roman" w:hAnsi="Times New Roman"/>
          <w:sz w:val="28"/>
        </w:rPr>
        <w:lastRenderedPageBreak/>
        <w:t xml:space="preserve">The following “tests” represent those utilized historically for DSM programs that are now beginning to be applied to </w:t>
      </w:r>
      <w:r w:rsidR="00EB6A36">
        <w:rPr>
          <w:rFonts w:ascii="Times New Roman" w:hAnsi="Times New Roman"/>
          <w:sz w:val="28"/>
        </w:rPr>
        <w:t>smart grid</w:t>
      </w:r>
      <w:r w:rsidRPr="00DD0AE8">
        <w:rPr>
          <w:rFonts w:ascii="Times New Roman" w:hAnsi="Times New Roman"/>
          <w:sz w:val="28"/>
        </w:rPr>
        <w:t xml:space="preserve"> investments: </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Participant Cost Test</w:t>
      </w:r>
      <w:r w:rsidR="009D6106">
        <w:rPr>
          <w:rFonts w:ascii="Times New Roman" w:eastAsia="+mn-ea" w:hAnsi="Times New Roman"/>
          <w:color w:val="000000"/>
          <w:sz w:val="28"/>
          <w:szCs w:val="28"/>
        </w:rPr>
        <w:t xml:space="preserve"> (PCT)</w:t>
      </w:r>
      <w:r w:rsidRPr="00E67DF6">
        <w:rPr>
          <w:rFonts w:ascii="Times New Roman" w:eastAsia="+mn-ea" w:hAnsi="Times New Roman"/>
          <w:color w:val="000000"/>
          <w:sz w:val="28"/>
          <w:szCs w:val="28"/>
        </w:rPr>
        <w:t xml:space="preserve">.  This </w:t>
      </w:r>
      <w:r w:rsidR="00A55ACA">
        <w:rPr>
          <w:rFonts w:ascii="Times New Roman" w:eastAsia="+mn-ea" w:hAnsi="Times New Roman"/>
          <w:color w:val="000000"/>
          <w:sz w:val="28"/>
          <w:szCs w:val="28"/>
        </w:rPr>
        <w:t xml:space="preserve">test </w:t>
      </w:r>
      <w:r w:rsidRPr="00E67DF6">
        <w:rPr>
          <w:rFonts w:ascii="Times New Roman" w:eastAsia="+mn-ea" w:hAnsi="Times New Roman"/>
          <w:color w:val="000000"/>
          <w:sz w:val="28"/>
          <w:szCs w:val="28"/>
        </w:rPr>
        <w:t xml:space="preserve">measures the quantifiable costs and benefits of the program to the participating consumer, attempting to determine if the participant is better off.  Within the context of </w:t>
      </w:r>
      <w:r w:rsidR="00EB6A36">
        <w:rPr>
          <w:rFonts w:ascii="Times New Roman" w:eastAsia="+mn-ea" w:hAnsi="Times New Roman"/>
          <w:color w:val="000000"/>
          <w:sz w:val="28"/>
          <w:szCs w:val="28"/>
        </w:rPr>
        <w:t>smart grid</w:t>
      </w:r>
      <w:r w:rsidRPr="00E67DF6">
        <w:rPr>
          <w:rFonts w:ascii="Times New Roman" w:eastAsia="+mn-ea" w:hAnsi="Times New Roman"/>
          <w:color w:val="000000"/>
          <w:sz w:val="28"/>
          <w:szCs w:val="28"/>
        </w:rPr>
        <w:t>, it might b</w:t>
      </w:r>
      <w:r w:rsidR="00A55ACA">
        <w:rPr>
          <w:rFonts w:ascii="Times New Roman" w:eastAsia="+mn-ea" w:hAnsi="Times New Roman"/>
          <w:color w:val="000000"/>
          <w:sz w:val="28"/>
          <w:szCs w:val="28"/>
        </w:rPr>
        <w:t>e appropriate for this test</w:t>
      </w:r>
      <w:r w:rsidRPr="00E67DF6">
        <w:rPr>
          <w:rFonts w:ascii="Times New Roman" w:eastAsia="+mn-ea" w:hAnsi="Times New Roman"/>
          <w:color w:val="000000"/>
          <w:sz w:val="28"/>
          <w:szCs w:val="28"/>
        </w:rPr>
        <w:t xml:space="preserve"> to be performed when evaluating customer-oriented applications (those offering products and/or services on the customer (load) side of the meter). </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Ratepayer Impact Measure (RIM) – </w:t>
      </w:r>
      <w:r w:rsidR="00A55ACA">
        <w:rPr>
          <w:rFonts w:ascii="Times New Roman" w:eastAsia="+mn-ea" w:hAnsi="Times New Roman"/>
          <w:color w:val="000000"/>
          <w:sz w:val="28"/>
          <w:szCs w:val="28"/>
        </w:rPr>
        <w:t xml:space="preserve">This test </w:t>
      </w:r>
      <w:r w:rsidRPr="00E67DF6">
        <w:rPr>
          <w:rFonts w:ascii="Times New Roman" w:eastAsia="+mn-ea" w:hAnsi="Times New Roman"/>
          <w:color w:val="000000"/>
          <w:sz w:val="28"/>
          <w:szCs w:val="28"/>
        </w:rPr>
        <w:t>measures the net impact of the program on customer rates/bills to determine if overall rates will be lowered.  The RIM test incorporates the utility’s lost revenues as a key cost component (i.e., reduced consumption impacting the utility’s recovery of its fixed costs).</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Program Administrator Cost (Utility Cost Test).  This </w:t>
      </w:r>
      <w:r w:rsidR="00A55ACA">
        <w:rPr>
          <w:rFonts w:ascii="Times New Roman" w:eastAsia="+mn-ea" w:hAnsi="Times New Roman"/>
          <w:color w:val="000000"/>
          <w:sz w:val="28"/>
          <w:szCs w:val="28"/>
        </w:rPr>
        <w:t xml:space="preserve">test </w:t>
      </w:r>
      <w:r w:rsidRPr="00E67DF6">
        <w:rPr>
          <w:rFonts w:ascii="Times New Roman" w:eastAsia="+mn-ea" w:hAnsi="Times New Roman"/>
          <w:color w:val="000000"/>
          <w:sz w:val="28"/>
          <w:szCs w:val="28"/>
        </w:rPr>
        <w:t xml:space="preserve">measures net program costs, like </w:t>
      </w:r>
      <w:r w:rsidR="009D6106">
        <w:rPr>
          <w:rFonts w:ascii="Times New Roman" w:eastAsia="+mn-ea" w:hAnsi="Times New Roman"/>
          <w:color w:val="000000"/>
          <w:sz w:val="28"/>
          <w:szCs w:val="28"/>
        </w:rPr>
        <w:t>a</w:t>
      </w:r>
      <w:r w:rsidR="009D6106" w:rsidRPr="00E67DF6">
        <w:rPr>
          <w:rFonts w:ascii="Times New Roman" w:eastAsia="+mn-ea" w:hAnsi="Times New Roman"/>
          <w:color w:val="000000"/>
          <w:sz w:val="28"/>
          <w:szCs w:val="28"/>
        </w:rPr>
        <w:t xml:space="preserve"> </w:t>
      </w:r>
      <w:r w:rsidRPr="00E67DF6">
        <w:rPr>
          <w:rFonts w:ascii="Times New Roman" w:eastAsia="+mn-ea" w:hAnsi="Times New Roman"/>
          <w:color w:val="000000"/>
          <w:sz w:val="28"/>
          <w:szCs w:val="28"/>
        </w:rPr>
        <w:t xml:space="preserve">TRC test, but excludes participant costs.  Its concern is determining if revenue requirements are reduced.  This test does not include the utility’s lost revenues as a cost (which is the primary difference between this test and the RIM test). </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Total Resource Cost (TRC).  This </w:t>
      </w:r>
      <w:r w:rsidR="00A55ACA">
        <w:rPr>
          <w:rFonts w:ascii="Times New Roman" w:eastAsia="+mn-ea" w:hAnsi="Times New Roman"/>
          <w:color w:val="000000"/>
          <w:sz w:val="28"/>
          <w:szCs w:val="28"/>
        </w:rPr>
        <w:t xml:space="preserve">test </w:t>
      </w:r>
      <w:r w:rsidRPr="00E67DF6">
        <w:rPr>
          <w:rFonts w:ascii="Times New Roman" w:eastAsia="+mn-ea" w:hAnsi="Times New Roman"/>
          <w:color w:val="000000"/>
          <w:sz w:val="28"/>
          <w:szCs w:val="28"/>
        </w:rPr>
        <w:t>measures the net cost of the program as a resource option, including bot</w:t>
      </w:r>
      <w:r w:rsidR="0009576D">
        <w:rPr>
          <w:rFonts w:ascii="Times New Roman" w:eastAsia="+mn-ea" w:hAnsi="Times New Roman"/>
          <w:color w:val="000000"/>
          <w:sz w:val="28"/>
          <w:szCs w:val="28"/>
        </w:rPr>
        <w:t>h the utility’s and participant</w:t>
      </w:r>
      <w:r w:rsidRPr="00E67DF6">
        <w:rPr>
          <w:rFonts w:ascii="Times New Roman" w:eastAsia="+mn-ea" w:hAnsi="Times New Roman"/>
          <w:color w:val="000000"/>
          <w:sz w:val="28"/>
          <w:szCs w:val="28"/>
        </w:rPr>
        <w:t>s</w:t>
      </w:r>
      <w:r w:rsidR="0009576D">
        <w:rPr>
          <w:rFonts w:ascii="Times New Roman" w:eastAsia="+mn-ea" w:hAnsi="Times New Roman"/>
          <w:color w:val="000000"/>
          <w:sz w:val="28"/>
          <w:szCs w:val="28"/>
        </w:rPr>
        <w:t>’</w:t>
      </w:r>
      <w:r w:rsidRPr="00E67DF6">
        <w:rPr>
          <w:rFonts w:ascii="Times New Roman" w:eastAsia="+mn-ea" w:hAnsi="Times New Roman"/>
          <w:color w:val="000000"/>
          <w:sz w:val="28"/>
          <w:szCs w:val="28"/>
        </w:rPr>
        <w:t xml:space="preserve"> net costs, </w:t>
      </w:r>
      <w:r w:rsidR="0009576D">
        <w:rPr>
          <w:rFonts w:ascii="Times New Roman" w:eastAsia="+mn-ea" w:hAnsi="Times New Roman"/>
          <w:color w:val="000000"/>
          <w:sz w:val="28"/>
          <w:szCs w:val="28"/>
        </w:rPr>
        <w:t>in an attempt</w:t>
      </w:r>
      <w:r w:rsidRPr="00E67DF6">
        <w:rPr>
          <w:rFonts w:ascii="Times New Roman" w:eastAsia="+mn-ea" w:hAnsi="Times New Roman"/>
          <w:color w:val="000000"/>
          <w:sz w:val="28"/>
          <w:szCs w:val="28"/>
        </w:rPr>
        <w:t xml:space="preserve"> to determine if resource efficiency is improved.</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Societal Cost Test.  This </w:t>
      </w:r>
      <w:r w:rsidR="00A55ACA">
        <w:rPr>
          <w:rFonts w:ascii="Times New Roman" w:eastAsia="+mn-ea" w:hAnsi="Times New Roman"/>
          <w:color w:val="000000"/>
          <w:sz w:val="28"/>
          <w:szCs w:val="28"/>
        </w:rPr>
        <w:t xml:space="preserve">test </w:t>
      </w:r>
      <w:r w:rsidRPr="00E67DF6">
        <w:rPr>
          <w:rFonts w:ascii="Times New Roman" w:eastAsia="+mn-ea" w:hAnsi="Times New Roman"/>
          <w:color w:val="000000"/>
          <w:sz w:val="28"/>
          <w:szCs w:val="28"/>
        </w:rPr>
        <w:t>expands the TRC to incorporate external benefits (e.g., environmental, third parties, societal)</w:t>
      </w:r>
      <w:r w:rsidR="00187D8F">
        <w:rPr>
          <w:rFonts w:ascii="Times New Roman" w:eastAsia="+mn-ea" w:hAnsi="Times New Roman"/>
          <w:color w:val="000000"/>
          <w:sz w:val="28"/>
          <w:szCs w:val="28"/>
        </w:rPr>
        <w:t xml:space="preserve">.  </w:t>
      </w:r>
      <w:r w:rsidR="00187D8F" w:rsidRPr="00B414B8">
        <w:rPr>
          <w:rFonts w:ascii="Times New Roman" w:eastAsia="+mn-ea" w:hAnsi="Times New Roman"/>
          <w:color w:val="000000"/>
          <w:sz w:val="28"/>
          <w:szCs w:val="28"/>
        </w:rPr>
        <w:t>Competitive Supplier/Third Party Value</w:t>
      </w:r>
      <w:r w:rsidR="00187D8F">
        <w:rPr>
          <w:rFonts w:ascii="Times New Roman" w:eastAsia="+mn-ea" w:hAnsi="Times New Roman"/>
          <w:color w:val="000000"/>
          <w:sz w:val="28"/>
          <w:szCs w:val="28"/>
        </w:rPr>
        <w:t xml:space="preserve"> benefits (benefits </w:t>
      </w:r>
      <w:r w:rsidR="00187D8F" w:rsidRPr="00B414B8">
        <w:rPr>
          <w:rFonts w:ascii="Times New Roman" w:eastAsia="+mn-ea" w:hAnsi="Times New Roman"/>
          <w:color w:val="000000"/>
          <w:sz w:val="28"/>
          <w:szCs w:val="28"/>
        </w:rPr>
        <w:t>to alternative retail electric suppliers</w:t>
      </w:r>
      <w:r w:rsidR="00187D8F">
        <w:rPr>
          <w:rFonts w:ascii="Times New Roman" w:eastAsia="+mn-ea" w:hAnsi="Times New Roman"/>
          <w:color w:val="000000"/>
          <w:sz w:val="28"/>
          <w:szCs w:val="28"/>
        </w:rPr>
        <w:t>, non-state jurisdictional entities,</w:t>
      </w:r>
      <w:r w:rsidR="00187D8F" w:rsidRPr="00B414B8">
        <w:rPr>
          <w:rFonts w:ascii="Times New Roman" w:eastAsia="+mn-ea" w:hAnsi="Times New Roman"/>
          <w:color w:val="000000"/>
          <w:sz w:val="28"/>
          <w:szCs w:val="28"/>
        </w:rPr>
        <w:t xml:space="preserve"> and other third parties</w:t>
      </w:r>
      <w:r w:rsidR="006F61DC">
        <w:rPr>
          <w:rFonts w:ascii="Times New Roman" w:eastAsia="+mn-ea" w:hAnsi="Times New Roman"/>
          <w:color w:val="000000"/>
          <w:sz w:val="28"/>
          <w:szCs w:val="28"/>
        </w:rPr>
        <w:t>)</w:t>
      </w:r>
      <w:r w:rsidR="00187D8F">
        <w:rPr>
          <w:rFonts w:ascii="Times New Roman" w:eastAsia="+mn-ea" w:hAnsi="Times New Roman"/>
          <w:color w:val="000000"/>
          <w:sz w:val="28"/>
          <w:szCs w:val="28"/>
        </w:rPr>
        <w:t xml:space="preserve"> </w:t>
      </w:r>
      <w:r w:rsidR="00187D8F" w:rsidRPr="00B414B8">
        <w:rPr>
          <w:rFonts w:ascii="Times New Roman" w:eastAsia="+mn-ea" w:hAnsi="Times New Roman"/>
          <w:color w:val="000000"/>
          <w:sz w:val="28"/>
          <w:szCs w:val="28"/>
        </w:rPr>
        <w:t>may be appropriate for inclusion in the Societal Cost Test.</w:t>
      </w:r>
      <w:r w:rsidR="00187D8F">
        <w:rPr>
          <w:rFonts w:ascii="Times New Roman" w:eastAsia="+mn-ea" w:hAnsi="Times New Roman"/>
          <w:color w:val="000000"/>
          <w:sz w:val="28"/>
          <w:szCs w:val="28"/>
        </w:rPr>
        <w:t xml:space="preserve">  Societal Value </w:t>
      </w:r>
      <w:r w:rsidR="00187D8F" w:rsidRPr="00432535">
        <w:rPr>
          <w:rFonts w:ascii="Times New Roman" w:eastAsia="+mn-ea" w:hAnsi="Times New Roman"/>
          <w:color w:val="000000"/>
          <w:sz w:val="28"/>
          <w:szCs w:val="28"/>
        </w:rPr>
        <w:t>benefits should only be included as an element in the Societal Cost Test.</w:t>
      </w:r>
    </w:p>
    <w:p w:rsidR="005B3F81" w:rsidRDefault="005B3F81" w:rsidP="005B3F81">
      <w:pPr>
        <w:tabs>
          <w:tab w:val="left" w:pos="360"/>
        </w:tabs>
        <w:spacing w:before="240"/>
        <w:rPr>
          <w:rFonts w:ascii="Times New Roman" w:hAnsi="Times New Roman"/>
          <w:sz w:val="28"/>
        </w:rPr>
      </w:pPr>
      <w:r w:rsidRPr="00DD0AE8">
        <w:rPr>
          <w:rFonts w:ascii="Times New Roman" w:hAnsi="Times New Roman"/>
          <w:sz w:val="28"/>
        </w:rPr>
        <w:t xml:space="preserve">The </w:t>
      </w:r>
      <w:r>
        <w:rPr>
          <w:rFonts w:ascii="Times New Roman" w:hAnsi="Times New Roman"/>
          <w:sz w:val="28"/>
        </w:rPr>
        <w:t xml:space="preserve">following </w:t>
      </w:r>
      <w:r w:rsidRPr="00DD0AE8">
        <w:rPr>
          <w:rFonts w:ascii="Times New Roman" w:hAnsi="Times New Roman"/>
          <w:sz w:val="28"/>
        </w:rPr>
        <w:t xml:space="preserve">matrix </w:t>
      </w:r>
      <w:r>
        <w:rPr>
          <w:rFonts w:ascii="Times New Roman" w:hAnsi="Times New Roman"/>
          <w:sz w:val="28"/>
        </w:rPr>
        <w:t>identifies</w:t>
      </w:r>
      <w:r w:rsidRPr="00DD0AE8">
        <w:rPr>
          <w:rFonts w:ascii="Times New Roman" w:hAnsi="Times New Roman"/>
          <w:sz w:val="28"/>
        </w:rPr>
        <w:t xml:space="preserve"> the various </w:t>
      </w:r>
      <w:r>
        <w:rPr>
          <w:rFonts w:ascii="Times New Roman" w:hAnsi="Times New Roman"/>
          <w:sz w:val="28"/>
        </w:rPr>
        <w:t xml:space="preserve">potential </w:t>
      </w:r>
      <w:r w:rsidRPr="00DD0AE8">
        <w:rPr>
          <w:rFonts w:ascii="Times New Roman" w:hAnsi="Times New Roman"/>
          <w:sz w:val="28"/>
        </w:rPr>
        <w:t>costs and benefits associated with t</w:t>
      </w:r>
      <w:r w:rsidR="0009576D">
        <w:rPr>
          <w:rFonts w:ascii="Times New Roman" w:hAnsi="Times New Roman"/>
          <w:sz w:val="28"/>
        </w:rPr>
        <w:t>he respective tests</w:t>
      </w:r>
      <w:r w:rsidRPr="00DD0AE8">
        <w:rPr>
          <w:rFonts w:ascii="Times New Roman" w:hAnsi="Times New Roman"/>
          <w:sz w:val="28"/>
        </w:rPr>
        <w:t xml:space="preserve"> in which they would be included.</w:t>
      </w:r>
      <w:r w:rsidRPr="00166638">
        <w:rPr>
          <w:rFonts w:ascii="Times New Roman" w:hAnsi="Times New Roman"/>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4320"/>
        <w:gridCol w:w="3330"/>
      </w:tblGrid>
      <w:tr w:rsidR="005B3F81" w:rsidRPr="000F2E7D" w:rsidTr="00D24E2A">
        <w:trPr>
          <w:cantSplit/>
          <w:tblHeader/>
        </w:trPr>
        <w:tc>
          <w:tcPr>
            <w:tcW w:w="1908" w:type="dxa"/>
            <w:vMerge w:val="restart"/>
            <w:shd w:val="clear" w:color="auto" w:fill="17365D"/>
            <w:vAlign w:val="center"/>
          </w:tcPr>
          <w:p w:rsidR="005B3F81" w:rsidRPr="000F2E7D" w:rsidRDefault="005B3F81" w:rsidP="00D24E2A">
            <w:pPr>
              <w:jc w:val="center"/>
              <w:rPr>
                <w:rFonts w:ascii="Times New Roman" w:hAnsi="Times New Roman"/>
                <w:b/>
                <w:sz w:val="24"/>
              </w:rPr>
            </w:pPr>
            <w:r w:rsidRPr="000F2E7D">
              <w:rPr>
                <w:rFonts w:ascii="Times New Roman" w:hAnsi="Times New Roman"/>
                <w:b/>
                <w:sz w:val="24"/>
              </w:rPr>
              <w:t>Test</w:t>
            </w:r>
          </w:p>
        </w:tc>
        <w:tc>
          <w:tcPr>
            <w:tcW w:w="7650" w:type="dxa"/>
            <w:gridSpan w:val="2"/>
            <w:tcBorders>
              <w:bottom w:val="single" w:sz="4" w:space="0" w:color="000000"/>
            </w:tcBorders>
            <w:shd w:val="clear" w:color="auto" w:fill="17365D"/>
            <w:vAlign w:val="center"/>
          </w:tcPr>
          <w:p w:rsidR="005B3F81" w:rsidRPr="000F2E7D" w:rsidRDefault="005B3F81" w:rsidP="00D24E2A">
            <w:pPr>
              <w:spacing w:after="0"/>
              <w:jc w:val="center"/>
              <w:rPr>
                <w:rFonts w:ascii="Times New Roman" w:hAnsi="Times New Roman"/>
                <w:b/>
                <w:color w:val="FFFFFF"/>
                <w:sz w:val="24"/>
              </w:rPr>
            </w:pPr>
            <w:r w:rsidRPr="000F2E7D">
              <w:rPr>
                <w:rFonts w:ascii="Times New Roman" w:hAnsi="Times New Roman"/>
                <w:b/>
                <w:color w:val="FFFFFF"/>
                <w:sz w:val="24"/>
              </w:rPr>
              <w:t>Included in Test Calculation</w:t>
            </w:r>
          </w:p>
        </w:tc>
      </w:tr>
      <w:tr w:rsidR="005B3F81" w:rsidRPr="000F2E7D" w:rsidTr="00D24E2A">
        <w:trPr>
          <w:cantSplit/>
          <w:tblHeader/>
        </w:trPr>
        <w:tc>
          <w:tcPr>
            <w:tcW w:w="1908" w:type="dxa"/>
            <w:vMerge/>
            <w:shd w:val="clear" w:color="auto" w:fill="17365D"/>
            <w:vAlign w:val="center"/>
          </w:tcPr>
          <w:p w:rsidR="005B3F81" w:rsidRPr="000F2E7D" w:rsidRDefault="005B3F81" w:rsidP="00D24E2A">
            <w:pPr>
              <w:spacing w:after="0"/>
              <w:rPr>
                <w:rFonts w:ascii="Times New Roman" w:hAnsi="Times New Roman"/>
                <w:sz w:val="24"/>
              </w:rPr>
            </w:pPr>
          </w:p>
        </w:tc>
        <w:tc>
          <w:tcPr>
            <w:tcW w:w="4320" w:type="dxa"/>
            <w:shd w:val="clear" w:color="auto" w:fill="17365D"/>
            <w:vAlign w:val="center"/>
          </w:tcPr>
          <w:p w:rsidR="005B3F81" w:rsidRPr="000F2E7D" w:rsidRDefault="005B3F81" w:rsidP="00D24E2A">
            <w:pPr>
              <w:spacing w:after="0"/>
              <w:jc w:val="center"/>
              <w:rPr>
                <w:rFonts w:ascii="Times New Roman" w:hAnsi="Times New Roman"/>
                <w:sz w:val="24"/>
              </w:rPr>
            </w:pPr>
            <w:r w:rsidRPr="000F2E7D">
              <w:rPr>
                <w:rFonts w:ascii="Times New Roman" w:hAnsi="Times New Roman"/>
                <w:b/>
                <w:sz w:val="24"/>
              </w:rPr>
              <w:t>Potential Costs</w:t>
            </w:r>
          </w:p>
        </w:tc>
        <w:tc>
          <w:tcPr>
            <w:tcW w:w="3330" w:type="dxa"/>
            <w:shd w:val="clear" w:color="auto" w:fill="17365D"/>
            <w:vAlign w:val="center"/>
          </w:tcPr>
          <w:p w:rsidR="005B3F81" w:rsidRPr="000F2E7D" w:rsidRDefault="005B3F81" w:rsidP="00D24E2A">
            <w:pPr>
              <w:spacing w:after="0"/>
              <w:jc w:val="center"/>
              <w:rPr>
                <w:rFonts w:ascii="Times New Roman" w:hAnsi="Times New Roman"/>
                <w:sz w:val="24"/>
              </w:rPr>
            </w:pPr>
            <w:r w:rsidRPr="000F2E7D">
              <w:rPr>
                <w:rFonts w:ascii="Times New Roman" w:hAnsi="Times New Roman"/>
                <w:b/>
                <w:sz w:val="24"/>
              </w:rPr>
              <w:t>Potential Benefits</w:t>
            </w:r>
          </w:p>
        </w:tc>
      </w:tr>
      <w:tr w:rsidR="005B3F81" w:rsidRPr="000F2E7D" w:rsidTr="00D24E2A">
        <w:trPr>
          <w:cantSplit/>
          <w:tblHeader/>
        </w:trPr>
        <w:tc>
          <w:tcPr>
            <w:tcW w:w="1908" w:type="dxa"/>
            <w:vAlign w:val="center"/>
          </w:tcPr>
          <w:p w:rsidR="005B3F81" w:rsidRPr="000F2E7D" w:rsidRDefault="005B3F81" w:rsidP="00D24E2A">
            <w:pPr>
              <w:spacing w:after="0"/>
              <w:rPr>
                <w:rFonts w:ascii="Times New Roman" w:hAnsi="Times New Roman"/>
                <w:sz w:val="24"/>
              </w:rPr>
            </w:pPr>
            <w:r w:rsidRPr="000F2E7D">
              <w:rPr>
                <w:rFonts w:ascii="Times New Roman" w:hAnsi="Times New Roman"/>
                <w:sz w:val="24"/>
              </w:rPr>
              <w:lastRenderedPageBreak/>
              <w:t>Participant Cost</w:t>
            </w:r>
          </w:p>
        </w:tc>
        <w:tc>
          <w:tcPr>
            <w:tcW w:w="4320" w:type="dxa"/>
          </w:tcPr>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Costs incurred by those customers participating (initial capital cost including sales tax, ongoing O&amp;M costs, removal costs less salvage value)</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Potential negative impacts on those customers participating</w:t>
            </w:r>
          </w:p>
        </w:tc>
        <w:tc>
          <w:tcPr>
            <w:tcW w:w="3330" w:type="dxa"/>
          </w:tcPr>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Reduction in utility bills for those customers participating</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Tax credits paid to those customers participating</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Utility incentives paid to those customers participating</w:t>
            </w:r>
          </w:p>
        </w:tc>
      </w:tr>
      <w:tr w:rsidR="005B3F81" w:rsidRPr="000F2E7D" w:rsidTr="00D24E2A">
        <w:trPr>
          <w:cantSplit/>
          <w:tblHeader/>
        </w:trPr>
        <w:tc>
          <w:tcPr>
            <w:tcW w:w="1908" w:type="dxa"/>
            <w:vAlign w:val="center"/>
          </w:tcPr>
          <w:p w:rsidR="005B3F81" w:rsidRPr="000F2E7D" w:rsidRDefault="005B3F81" w:rsidP="00D24E2A">
            <w:pPr>
              <w:spacing w:after="0"/>
              <w:rPr>
                <w:rFonts w:ascii="Times New Roman" w:hAnsi="Times New Roman"/>
                <w:sz w:val="24"/>
              </w:rPr>
            </w:pPr>
            <w:r w:rsidRPr="000F2E7D">
              <w:rPr>
                <w:rFonts w:ascii="Times New Roman" w:hAnsi="Times New Roman"/>
                <w:sz w:val="24"/>
              </w:rPr>
              <w:t>Ratepayer Impact Measure</w:t>
            </w:r>
          </w:p>
          <w:p w:rsidR="005B3F81" w:rsidRPr="000F2E7D" w:rsidRDefault="005B3F81" w:rsidP="00D24E2A">
            <w:pPr>
              <w:spacing w:after="0"/>
              <w:rPr>
                <w:rFonts w:ascii="Times New Roman" w:hAnsi="Times New Roman"/>
                <w:sz w:val="24"/>
              </w:rPr>
            </w:pPr>
            <w:r w:rsidRPr="000F2E7D">
              <w:rPr>
                <w:rFonts w:ascii="Times New Roman" w:hAnsi="Times New Roman"/>
                <w:sz w:val="24"/>
              </w:rPr>
              <w:t>(RIM)</w:t>
            </w:r>
          </w:p>
        </w:tc>
        <w:tc>
          <w:tcPr>
            <w:tcW w:w="4320" w:type="dxa"/>
          </w:tcPr>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Initial and ongoing costs incurred by the utility (e.g., hardware, software, customer education, administration, customer incentives costs) including stranded assets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Utility’s lost revenue from reduction in sales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Potential negative impacts on the utility</w:t>
            </w:r>
          </w:p>
        </w:tc>
        <w:tc>
          <w:tcPr>
            <w:tcW w:w="3330" w:type="dxa"/>
          </w:tcPr>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Utility avoided costs (capital or O&amp;M)</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 xml:space="preserve">Utility’s revenue gains from increase in sales </w:t>
            </w:r>
          </w:p>
        </w:tc>
      </w:tr>
      <w:tr w:rsidR="005B3F81" w:rsidRPr="000F2E7D" w:rsidTr="00D24E2A">
        <w:trPr>
          <w:cantSplit/>
          <w:tblHeader/>
        </w:trPr>
        <w:tc>
          <w:tcPr>
            <w:tcW w:w="1908" w:type="dxa"/>
            <w:vAlign w:val="center"/>
          </w:tcPr>
          <w:p w:rsidR="005B3F81" w:rsidRPr="000F2E7D" w:rsidRDefault="005B3F81" w:rsidP="00D24E2A">
            <w:pPr>
              <w:spacing w:after="0"/>
              <w:rPr>
                <w:rFonts w:ascii="Times New Roman" w:hAnsi="Times New Roman"/>
                <w:sz w:val="24"/>
              </w:rPr>
            </w:pPr>
            <w:r w:rsidRPr="000F2E7D">
              <w:rPr>
                <w:rFonts w:ascii="Times New Roman" w:hAnsi="Times New Roman"/>
                <w:sz w:val="24"/>
              </w:rPr>
              <w:t>Program Administrator Cost</w:t>
            </w:r>
          </w:p>
        </w:tc>
        <w:tc>
          <w:tcPr>
            <w:tcW w:w="4320" w:type="dxa"/>
          </w:tcPr>
          <w:p w:rsidR="005B3F81" w:rsidRPr="000F2E7D" w:rsidRDefault="005B3F81" w:rsidP="00D24E2A">
            <w:pPr>
              <w:spacing w:after="0"/>
              <w:rPr>
                <w:rFonts w:ascii="Times New Roman" w:hAnsi="Times New Roman"/>
                <w:i/>
                <w:sz w:val="24"/>
              </w:rPr>
            </w:pPr>
            <w:r w:rsidRPr="000F2E7D">
              <w:rPr>
                <w:rFonts w:ascii="Times New Roman" w:hAnsi="Times New Roman"/>
                <w:i/>
                <w:sz w:val="24"/>
              </w:rPr>
              <w:t>Same as RIM, but excluding the utility’s lost revenues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Initial and ongoing costs incurred by the utility (e.g., hardware, software, customer education, administration, customer incentives costs) including stranded assets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Potential negative impacts on the utility</w:t>
            </w:r>
          </w:p>
        </w:tc>
        <w:tc>
          <w:tcPr>
            <w:tcW w:w="3330" w:type="dxa"/>
          </w:tcPr>
          <w:p w:rsidR="005B3F81" w:rsidRPr="000F2E7D" w:rsidRDefault="005B3F81" w:rsidP="00D24E2A">
            <w:pPr>
              <w:spacing w:after="0"/>
              <w:rPr>
                <w:rFonts w:ascii="Times New Roman" w:hAnsi="Times New Roman"/>
                <w:i/>
                <w:sz w:val="24"/>
              </w:rPr>
            </w:pPr>
            <w:r w:rsidRPr="000F2E7D">
              <w:rPr>
                <w:rFonts w:ascii="Times New Roman" w:hAnsi="Times New Roman"/>
                <w:i/>
                <w:sz w:val="24"/>
              </w:rPr>
              <w:t>Same as RIM, but excluding the utility’s revenue gains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Utility avoided costs (capital or O&amp;M)</w:t>
            </w:r>
          </w:p>
        </w:tc>
      </w:tr>
      <w:tr w:rsidR="005B3F81" w:rsidRPr="000F2E7D" w:rsidTr="00D24E2A">
        <w:trPr>
          <w:cantSplit/>
          <w:tblHeader/>
        </w:trPr>
        <w:tc>
          <w:tcPr>
            <w:tcW w:w="1908" w:type="dxa"/>
            <w:vAlign w:val="center"/>
          </w:tcPr>
          <w:p w:rsidR="005B3F81" w:rsidRPr="000F2E7D" w:rsidRDefault="005B3F81" w:rsidP="00D24E2A">
            <w:pPr>
              <w:spacing w:after="0"/>
              <w:rPr>
                <w:rFonts w:ascii="Times New Roman" w:hAnsi="Times New Roman"/>
                <w:sz w:val="24"/>
              </w:rPr>
            </w:pPr>
            <w:r w:rsidRPr="000F2E7D">
              <w:rPr>
                <w:rFonts w:ascii="Times New Roman" w:hAnsi="Times New Roman"/>
                <w:sz w:val="24"/>
              </w:rPr>
              <w:t>Total Resource Cost</w:t>
            </w:r>
          </w:p>
          <w:p w:rsidR="005B3F81" w:rsidRPr="000F2E7D" w:rsidRDefault="005B3F81" w:rsidP="00D24E2A">
            <w:pPr>
              <w:spacing w:after="0"/>
              <w:rPr>
                <w:rFonts w:ascii="Times New Roman" w:hAnsi="Times New Roman"/>
                <w:sz w:val="24"/>
              </w:rPr>
            </w:pPr>
            <w:r w:rsidRPr="000F2E7D">
              <w:rPr>
                <w:rFonts w:ascii="Times New Roman" w:hAnsi="Times New Roman"/>
                <w:sz w:val="24"/>
              </w:rPr>
              <w:t>(TRC)</w:t>
            </w:r>
          </w:p>
        </w:tc>
        <w:tc>
          <w:tcPr>
            <w:tcW w:w="4320" w:type="dxa"/>
          </w:tcPr>
          <w:p w:rsidR="005B3F81" w:rsidRPr="000F2E7D" w:rsidRDefault="005B3F81" w:rsidP="00D24E2A">
            <w:pPr>
              <w:spacing w:after="0"/>
              <w:rPr>
                <w:rFonts w:ascii="Times New Roman" w:hAnsi="Times New Roman"/>
                <w:i/>
                <w:sz w:val="24"/>
              </w:rPr>
            </w:pPr>
            <w:r w:rsidRPr="000F2E7D">
              <w:rPr>
                <w:rFonts w:ascii="Times New Roman" w:hAnsi="Times New Roman"/>
                <w:i/>
                <w:sz w:val="24"/>
              </w:rPr>
              <w:t>All of those included in the Participant and RIM, but excluding the utility’s lost revenues and customer incentives paid by the utility</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Costs incurred by those customers participating (initial capital cost including sales tax, ongoing O&amp;M costs, removal costs less salvage value)</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Initial and ongoing costs incurred by the utility (e.g., hardware, software, customer education, administration costs) including stranded assets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Potential negative impacts on those customers participating</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Potential negative impacts on the utility</w:t>
            </w:r>
          </w:p>
        </w:tc>
        <w:tc>
          <w:tcPr>
            <w:tcW w:w="3330" w:type="dxa"/>
          </w:tcPr>
          <w:p w:rsidR="005B3F81" w:rsidRPr="000F2E7D" w:rsidRDefault="005B3F81" w:rsidP="00D24E2A">
            <w:pPr>
              <w:spacing w:after="0"/>
              <w:rPr>
                <w:rFonts w:ascii="Times New Roman" w:hAnsi="Times New Roman"/>
                <w:i/>
                <w:sz w:val="24"/>
              </w:rPr>
            </w:pPr>
            <w:r w:rsidRPr="000F2E7D">
              <w:rPr>
                <w:rFonts w:ascii="Times New Roman" w:hAnsi="Times New Roman"/>
                <w:i/>
                <w:sz w:val="24"/>
              </w:rPr>
              <w:t>All of those included in the Participant and RIM, but excluding the revenue impacts from sales (to/from participant and customer) and customer incentives paid by the utility</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Utility avoided costs (capital or O&amp;M)</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Tax credits paid to those customers participating</w:t>
            </w:r>
          </w:p>
          <w:p w:rsidR="005B3F81" w:rsidRPr="000F2E7D" w:rsidRDefault="005B3F81" w:rsidP="00D24E2A">
            <w:pPr>
              <w:spacing w:after="0"/>
              <w:rPr>
                <w:rFonts w:ascii="Times New Roman" w:hAnsi="Times New Roman"/>
                <w:sz w:val="24"/>
              </w:rPr>
            </w:pPr>
          </w:p>
        </w:tc>
      </w:tr>
      <w:tr w:rsidR="005B3F81" w:rsidRPr="000F2E7D" w:rsidTr="00D24E2A">
        <w:trPr>
          <w:cantSplit/>
          <w:tblHeader/>
        </w:trPr>
        <w:tc>
          <w:tcPr>
            <w:tcW w:w="1908" w:type="dxa"/>
            <w:vAlign w:val="center"/>
          </w:tcPr>
          <w:p w:rsidR="005B3F81" w:rsidRPr="000F2E7D" w:rsidRDefault="005B3F81" w:rsidP="00D24E2A">
            <w:pPr>
              <w:spacing w:after="0"/>
              <w:rPr>
                <w:rFonts w:ascii="Times New Roman" w:hAnsi="Times New Roman"/>
                <w:sz w:val="24"/>
              </w:rPr>
            </w:pPr>
            <w:r w:rsidRPr="000F2E7D">
              <w:rPr>
                <w:rFonts w:ascii="Times New Roman" w:hAnsi="Times New Roman"/>
                <w:sz w:val="24"/>
              </w:rPr>
              <w:lastRenderedPageBreak/>
              <w:t>Societal Cost</w:t>
            </w:r>
          </w:p>
        </w:tc>
        <w:tc>
          <w:tcPr>
            <w:tcW w:w="4320" w:type="dxa"/>
          </w:tcPr>
          <w:p w:rsidR="005B3F81" w:rsidRPr="000F2E7D" w:rsidRDefault="005B3F81" w:rsidP="00D24E2A">
            <w:pPr>
              <w:spacing w:after="0"/>
              <w:rPr>
                <w:rFonts w:ascii="Times New Roman" w:hAnsi="Times New Roman"/>
                <w:i/>
                <w:sz w:val="24"/>
              </w:rPr>
            </w:pPr>
            <w:r w:rsidRPr="000F2E7D">
              <w:rPr>
                <w:rFonts w:ascii="Times New Roman" w:hAnsi="Times New Roman"/>
                <w:i/>
                <w:sz w:val="24"/>
              </w:rPr>
              <w:t>All of those included in the TRC, plus the following externalities: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Costs incurred by third parties associated with external benefits included</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Potential negative impacts on third parties associated with external benefits included</w:t>
            </w:r>
          </w:p>
        </w:tc>
        <w:tc>
          <w:tcPr>
            <w:tcW w:w="3330" w:type="dxa"/>
          </w:tcPr>
          <w:p w:rsidR="005B3F81" w:rsidRPr="000F2E7D" w:rsidRDefault="005B3F81" w:rsidP="00D24E2A">
            <w:pPr>
              <w:spacing w:after="0"/>
              <w:rPr>
                <w:rFonts w:ascii="Times New Roman" w:hAnsi="Times New Roman"/>
                <w:i/>
                <w:sz w:val="24"/>
              </w:rPr>
            </w:pPr>
            <w:r w:rsidRPr="000F2E7D">
              <w:rPr>
                <w:rFonts w:ascii="Times New Roman" w:hAnsi="Times New Roman"/>
                <w:i/>
                <w:sz w:val="24"/>
              </w:rPr>
              <w:t>All of those included in the TRC, plus the following externalities:</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Benefits accruing to society as a whole (e.g., environmental, public safety, economic productivity)</w:t>
            </w:r>
          </w:p>
          <w:p w:rsidR="00D328EB" w:rsidRDefault="005B3F81">
            <w:pPr>
              <w:numPr>
                <w:ilvl w:val="0"/>
                <w:numId w:val="2"/>
              </w:numPr>
              <w:spacing w:after="0"/>
              <w:ind w:left="162" w:hanging="162"/>
              <w:rPr>
                <w:rFonts w:ascii="Times New Roman" w:hAnsi="Times New Roman"/>
                <w:sz w:val="24"/>
              </w:rPr>
            </w:pPr>
            <w:r w:rsidRPr="000F2E7D">
              <w:rPr>
                <w:rFonts w:ascii="Times New Roman" w:hAnsi="Times New Roman"/>
                <w:sz w:val="24"/>
              </w:rPr>
              <w:t>Benefits accruing to third parties, but not to customers or the utility</w:t>
            </w:r>
          </w:p>
        </w:tc>
      </w:tr>
    </w:tbl>
    <w:p w:rsidR="005B3F81" w:rsidRPr="005B3F81" w:rsidRDefault="005B3F81" w:rsidP="005B3F81">
      <w:pPr>
        <w:spacing w:before="240"/>
        <w:ind w:left="360"/>
        <w:rPr>
          <w:rFonts w:ascii="Times New Roman" w:hAnsi="Times New Roman"/>
          <w:b/>
          <w:i/>
          <w:sz w:val="28"/>
        </w:rPr>
      </w:pPr>
      <w:r w:rsidRPr="005B3F81">
        <w:rPr>
          <w:rFonts w:ascii="Times New Roman" w:hAnsi="Times New Roman"/>
          <w:b/>
          <w:i/>
          <w:sz w:val="28"/>
        </w:rPr>
        <w:t>Recommendations</w:t>
      </w:r>
    </w:p>
    <w:p w:rsidR="005B3F81" w:rsidRDefault="005B3F81" w:rsidP="005B3F81">
      <w:pPr>
        <w:spacing w:before="240"/>
        <w:ind w:left="360"/>
        <w:rPr>
          <w:rFonts w:ascii="Times New Roman" w:hAnsi="Times New Roman"/>
          <w:sz w:val="28"/>
        </w:rPr>
      </w:pPr>
      <w:r>
        <w:rPr>
          <w:rFonts w:ascii="Times New Roman" w:hAnsi="Times New Roman"/>
          <w:sz w:val="28"/>
        </w:rPr>
        <w:t>U</w:t>
      </w:r>
      <w:r w:rsidRPr="00DD0AE8">
        <w:rPr>
          <w:rFonts w:ascii="Times New Roman" w:hAnsi="Times New Roman"/>
          <w:sz w:val="28"/>
        </w:rPr>
        <w:t xml:space="preserve">tilities should be required to present multiple views, or perspectives, as part of their cost-benefit analysis to be filed with the regulatory commission.  The ICC and others should have the benefit of these different perspectives when weighing the merits of </w:t>
      </w:r>
      <w:r w:rsidR="00EB6A36">
        <w:rPr>
          <w:rFonts w:ascii="Times New Roman" w:hAnsi="Times New Roman"/>
          <w:sz w:val="28"/>
        </w:rPr>
        <w:t>smart grid</w:t>
      </w:r>
      <w:r w:rsidRPr="00DD0AE8">
        <w:rPr>
          <w:rFonts w:ascii="Times New Roman" w:hAnsi="Times New Roman"/>
          <w:sz w:val="28"/>
        </w:rPr>
        <w:t xml:space="preserve"> investments.</w:t>
      </w:r>
    </w:p>
    <w:p w:rsidR="005B3F81" w:rsidRPr="005B3F81" w:rsidRDefault="005B3F81" w:rsidP="005B3F81">
      <w:pPr>
        <w:spacing w:before="240"/>
        <w:ind w:left="360"/>
        <w:rPr>
          <w:rFonts w:ascii="Times New Roman" w:hAnsi="Times New Roman"/>
          <w:sz w:val="28"/>
        </w:rPr>
      </w:pPr>
      <w:r w:rsidRPr="005B3F81">
        <w:rPr>
          <w:rFonts w:ascii="Times New Roman" w:hAnsi="Times New Roman"/>
          <w:sz w:val="28"/>
        </w:rPr>
        <w:t>All known and measurable costs required for the implementation of a particular application (whether borne by the customer, utility, or third party) should be incorporated into the cost-benefit analysis in the appropriate view(s)</w:t>
      </w:r>
      <w:r w:rsidR="0009576D">
        <w:rPr>
          <w:rFonts w:ascii="Times New Roman" w:hAnsi="Times New Roman"/>
          <w:sz w:val="28"/>
        </w:rPr>
        <w:t>.</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A Total Resource Cost perspective for investments should be presented by the utilities – both with societal </w:t>
      </w:r>
      <w:r w:rsidR="0009576D">
        <w:rPr>
          <w:rFonts w:ascii="Times New Roman" w:eastAsia="+mn-ea" w:hAnsi="Times New Roman"/>
          <w:color w:val="000000"/>
          <w:sz w:val="28"/>
          <w:szCs w:val="28"/>
        </w:rPr>
        <w:t>costs and benefits</w:t>
      </w:r>
      <w:r w:rsidRPr="00E67DF6">
        <w:rPr>
          <w:rFonts w:ascii="Times New Roman" w:eastAsia="+mn-ea" w:hAnsi="Times New Roman"/>
          <w:color w:val="000000"/>
          <w:sz w:val="28"/>
          <w:szCs w:val="28"/>
        </w:rPr>
        <w:t xml:space="preserve"> and without societal costs</w:t>
      </w:r>
      <w:r w:rsidR="0009576D">
        <w:rPr>
          <w:rFonts w:ascii="Times New Roman" w:eastAsia="+mn-ea" w:hAnsi="Times New Roman"/>
          <w:color w:val="000000"/>
          <w:sz w:val="28"/>
          <w:szCs w:val="28"/>
        </w:rPr>
        <w:t xml:space="preserve"> and benefits</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Other perspectives that should be presented include a Ratepayer Impact view (depicting how rates would be impacted) and a Customer/Participant view (depicting the impacts of customer-specific costs and benefits)</w:t>
      </w:r>
    </w:p>
    <w:p w:rsidR="005B3F81" w:rsidRPr="00B63B9E" w:rsidRDefault="005B3F81" w:rsidP="005B3F81">
      <w:pPr>
        <w:spacing w:before="240"/>
        <w:ind w:left="360"/>
        <w:rPr>
          <w:rFonts w:ascii="Times New Roman" w:hAnsi="Times New Roman"/>
          <w:sz w:val="28"/>
        </w:rPr>
      </w:pPr>
      <w:r w:rsidRPr="00B63B9E">
        <w:rPr>
          <w:rFonts w:ascii="Times New Roman" w:hAnsi="Times New Roman"/>
          <w:sz w:val="28"/>
        </w:rPr>
        <w:t>The Customer/Participant Test is releva</w:t>
      </w:r>
      <w:r>
        <w:rPr>
          <w:rFonts w:ascii="Times New Roman" w:hAnsi="Times New Roman"/>
          <w:sz w:val="28"/>
        </w:rPr>
        <w:t xml:space="preserve">nt for smart grid applications that </w:t>
      </w:r>
      <w:r w:rsidRPr="00B63B9E">
        <w:rPr>
          <w:rFonts w:ascii="Times New Roman" w:hAnsi="Times New Roman"/>
          <w:sz w:val="28"/>
        </w:rPr>
        <w:t>meet both of the following criteria:</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Customers may to choose to participate in the application (or not)</w:t>
      </w:r>
    </w:p>
    <w:p w:rsidR="00D328EB" w:rsidRDefault="005B3F8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Participants would be expected to realize quantifiable benefits not realized by non-participants.</w:t>
      </w:r>
    </w:p>
    <w:p w:rsidR="008829D4" w:rsidRPr="008829D4" w:rsidRDefault="008829D4" w:rsidP="008829D4">
      <w:pPr>
        <w:spacing w:before="240"/>
        <w:ind w:left="360"/>
        <w:rPr>
          <w:rFonts w:ascii="Times New Roman" w:hAnsi="Times New Roman"/>
          <w:sz w:val="28"/>
        </w:rPr>
      </w:pPr>
      <w:r w:rsidRPr="008829D4">
        <w:rPr>
          <w:rFonts w:ascii="Times New Roman" w:hAnsi="Times New Roman"/>
          <w:sz w:val="28"/>
        </w:rPr>
        <w:t>The Societal Cost Test is the only test that would include societal costs an</w:t>
      </w:r>
      <w:r w:rsidR="00806E80">
        <w:rPr>
          <w:rFonts w:ascii="Times New Roman" w:hAnsi="Times New Roman"/>
          <w:sz w:val="28"/>
        </w:rPr>
        <w:t>d benefits.</w:t>
      </w:r>
    </w:p>
    <w:p w:rsidR="00A55ACA" w:rsidRDefault="00A55ACA" w:rsidP="00A55ACA">
      <w:pPr>
        <w:spacing w:before="240"/>
        <w:ind w:left="360"/>
        <w:rPr>
          <w:rFonts w:ascii="Times New Roman" w:hAnsi="Times New Roman"/>
          <w:sz w:val="28"/>
        </w:rPr>
      </w:pPr>
      <w:r>
        <w:rPr>
          <w:rFonts w:ascii="Times New Roman" w:hAnsi="Times New Roman"/>
          <w:sz w:val="28"/>
        </w:rPr>
        <w:lastRenderedPageBreak/>
        <w:t>As appropriate to each test, the cost-b</w:t>
      </w:r>
      <w:r w:rsidRPr="00DD0AE8">
        <w:rPr>
          <w:rFonts w:ascii="Times New Roman" w:hAnsi="Times New Roman"/>
          <w:sz w:val="28"/>
        </w:rPr>
        <w:t>enefit analysis should separately identify</w:t>
      </w:r>
      <w:r>
        <w:rPr>
          <w:rFonts w:ascii="Times New Roman" w:hAnsi="Times New Roman"/>
          <w:sz w:val="28"/>
        </w:rPr>
        <w:t>:</w:t>
      </w:r>
    </w:p>
    <w:p w:rsidR="00D328EB" w:rsidRDefault="00A55ACA">
      <w:pPr>
        <w:numPr>
          <w:ilvl w:val="0"/>
          <w:numId w:val="5"/>
        </w:numPr>
        <w:spacing w:before="240"/>
        <w:rPr>
          <w:rFonts w:ascii="Times New Roman" w:hAnsi="Times New Roman"/>
          <w:sz w:val="28"/>
        </w:rPr>
      </w:pPr>
      <w:r w:rsidRPr="00DD0AE8">
        <w:rPr>
          <w:rFonts w:ascii="Times New Roman" w:hAnsi="Times New Roman"/>
          <w:sz w:val="28"/>
        </w:rPr>
        <w:t xml:space="preserve">those costs and benefits that will be directly incurred </w:t>
      </w:r>
      <w:r>
        <w:rPr>
          <w:rFonts w:ascii="Times New Roman" w:hAnsi="Times New Roman"/>
          <w:sz w:val="28"/>
        </w:rPr>
        <w:t>or realized</w:t>
      </w:r>
      <w:r w:rsidRPr="00DD0AE8">
        <w:rPr>
          <w:rFonts w:ascii="Times New Roman" w:hAnsi="Times New Roman"/>
          <w:sz w:val="28"/>
        </w:rPr>
        <w:t xml:space="preserve"> by ratepayers through the tr</w:t>
      </w:r>
      <w:r>
        <w:rPr>
          <w:rFonts w:ascii="Times New Roman" w:hAnsi="Times New Roman"/>
          <w:sz w:val="28"/>
        </w:rPr>
        <w:t>aditional ratemaking structure</w:t>
      </w:r>
    </w:p>
    <w:p w:rsidR="00D328EB" w:rsidRDefault="00A55ACA">
      <w:pPr>
        <w:numPr>
          <w:ilvl w:val="0"/>
          <w:numId w:val="5"/>
        </w:numPr>
        <w:spacing w:before="240"/>
        <w:rPr>
          <w:rFonts w:ascii="Times New Roman" w:hAnsi="Times New Roman"/>
          <w:sz w:val="28"/>
        </w:rPr>
      </w:pPr>
      <w:r>
        <w:rPr>
          <w:rFonts w:ascii="Times New Roman" w:hAnsi="Times New Roman"/>
          <w:sz w:val="28"/>
        </w:rPr>
        <w:t>those costs that can be expected to be incurred by non-utility parties</w:t>
      </w:r>
    </w:p>
    <w:p w:rsidR="00D328EB" w:rsidRDefault="00A55ACA">
      <w:pPr>
        <w:numPr>
          <w:ilvl w:val="0"/>
          <w:numId w:val="5"/>
        </w:numPr>
        <w:spacing w:before="240"/>
        <w:rPr>
          <w:rFonts w:ascii="Times New Roman" w:hAnsi="Times New Roman"/>
          <w:sz w:val="28"/>
        </w:rPr>
      </w:pPr>
      <w:r w:rsidRPr="00DD0AE8">
        <w:rPr>
          <w:rFonts w:ascii="Times New Roman" w:hAnsi="Times New Roman"/>
          <w:sz w:val="28"/>
        </w:rPr>
        <w:t>those benefits that will flow, if at all, through the wholesale price of energy</w:t>
      </w:r>
      <w:r>
        <w:rPr>
          <w:rFonts w:ascii="Times New Roman" w:hAnsi="Times New Roman"/>
          <w:sz w:val="28"/>
        </w:rPr>
        <w:t xml:space="preserve"> or other markets</w:t>
      </w:r>
    </w:p>
    <w:p w:rsidR="00D328EB" w:rsidRDefault="00A55ACA">
      <w:pPr>
        <w:numPr>
          <w:ilvl w:val="0"/>
          <w:numId w:val="5"/>
        </w:numPr>
        <w:spacing w:before="240"/>
        <w:rPr>
          <w:rFonts w:ascii="Times New Roman" w:hAnsi="Times New Roman"/>
          <w:sz w:val="28"/>
        </w:rPr>
      </w:pPr>
      <w:r w:rsidRPr="00DD0AE8">
        <w:rPr>
          <w:rFonts w:ascii="Times New Roman" w:hAnsi="Times New Roman"/>
          <w:sz w:val="28"/>
        </w:rPr>
        <w:t xml:space="preserve">those benefits associated with broader societal objectives or results that are not necessarily reflected in regulated customer rates.  </w:t>
      </w:r>
    </w:p>
    <w:p w:rsidR="001B0F50" w:rsidRDefault="001B0F50" w:rsidP="008829D4">
      <w:pPr>
        <w:spacing w:before="240"/>
        <w:ind w:left="360"/>
        <w:rPr>
          <w:rFonts w:ascii="Times New Roman" w:hAnsi="Times New Roman"/>
          <w:sz w:val="28"/>
          <w:szCs w:val="28"/>
        </w:rPr>
      </w:pPr>
      <w:r w:rsidRPr="006646AE">
        <w:rPr>
          <w:rFonts w:ascii="Times New Roman" w:hAnsi="Times New Roman"/>
          <w:sz w:val="28"/>
          <w:szCs w:val="28"/>
        </w:rPr>
        <w:t>For certain tests, the rate of return on utility investments could be a reasonable choice for a discount rate. However, the use of a different discount rate may be appropriate for other tests because customers may have a different assumed cost of capital.  (The discount rates used in the analyses are not intended to affect the rate of return that the Commission may set for future cost recovery on the investment.) Discount rates used in the analyses, and the rationale for their use, should be clearly documented.</w:t>
      </w:r>
    </w:p>
    <w:p w:rsidR="00317796" w:rsidRPr="005B35B3" w:rsidRDefault="00317796" w:rsidP="00317796">
      <w:pPr>
        <w:spacing w:before="240"/>
        <w:ind w:left="360"/>
        <w:rPr>
          <w:rFonts w:ascii="Times New Roman" w:hAnsi="Times New Roman"/>
          <w:sz w:val="28"/>
          <w:szCs w:val="28"/>
        </w:rPr>
      </w:pPr>
      <w:r w:rsidRPr="005B35B3">
        <w:rPr>
          <w:rFonts w:ascii="Times New Roman" w:hAnsi="Times New Roman"/>
          <w:sz w:val="28"/>
          <w:szCs w:val="28"/>
        </w:rPr>
        <w:t xml:space="preserve">The Commission’s decision to approve (or not approve) any particular smart grid investment may be based on a number of considerations, some of which could be outside the context of the cost-benefit analysis (e.g., policy considerations).  However, the Collaborative believes that application of the cost-benefit framework defined herein will provide the Commission with valuable perspectives on the economic value of the smart grid investment -- perspectives that should be given considerable weight by the Commission in its overall evaluation. </w:t>
      </w:r>
    </w:p>
    <w:p w:rsidR="005B35B3" w:rsidRPr="005B35B3" w:rsidRDefault="00317796" w:rsidP="00317796">
      <w:pPr>
        <w:spacing w:before="240"/>
        <w:ind w:left="360"/>
        <w:rPr>
          <w:rFonts w:ascii="Times New Roman" w:hAnsi="Times New Roman"/>
          <w:sz w:val="28"/>
          <w:szCs w:val="28"/>
        </w:rPr>
      </w:pPr>
      <w:r w:rsidRPr="005B35B3">
        <w:rPr>
          <w:rFonts w:ascii="Times New Roman" w:hAnsi="Times New Roman"/>
          <w:sz w:val="28"/>
          <w:szCs w:val="28"/>
        </w:rPr>
        <w:t xml:space="preserve">The Collaborative does not </w:t>
      </w:r>
      <w:r w:rsidR="00F40208" w:rsidRPr="005B35B3">
        <w:rPr>
          <w:rFonts w:ascii="Times New Roman" w:hAnsi="Times New Roman"/>
          <w:sz w:val="28"/>
          <w:szCs w:val="28"/>
        </w:rPr>
        <w:t>believe</w:t>
      </w:r>
      <w:r w:rsidRPr="005B35B3">
        <w:rPr>
          <w:rFonts w:ascii="Times New Roman" w:hAnsi="Times New Roman"/>
          <w:sz w:val="28"/>
          <w:szCs w:val="28"/>
        </w:rPr>
        <w:t xml:space="preserve"> that cost-benefit analysis or any particular cost-benefit test or tests should be considered dispositive.  However, as indicators of the economic value of the investment to the utility, ratepayers, participants, and society, the Collaborative believes that the results of the cost-benefit analyses should be of central importance in informing the Commission’s ultimate decision.   For this reason, the Collaborative believes that the </w:t>
      </w:r>
      <w:r w:rsidRPr="005B35B3">
        <w:rPr>
          <w:rFonts w:ascii="Times New Roman" w:hAnsi="Times New Roman"/>
          <w:sz w:val="28"/>
          <w:szCs w:val="28"/>
        </w:rPr>
        <w:lastRenderedPageBreak/>
        <w:t xml:space="preserve">Commission should not approve an investment that does not pass at least one of the tests.  </w:t>
      </w:r>
    </w:p>
    <w:p w:rsidR="0049442B" w:rsidRPr="0049442B" w:rsidRDefault="00317796" w:rsidP="00317796">
      <w:pPr>
        <w:spacing w:before="240"/>
        <w:ind w:left="360"/>
        <w:rPr>
          <w:rFonts w:ascii="Times New Roman" w:hAnsi="Times New Roman"/>
          <w:sz w:val="28"/>
          <w:szCs w:val="28"/>
        </w:rPr>
      </w:pPr>
      <w:r w:rsidRPr="005B35B3">
        <w:rPr>
          <w:rFonts w:ascii="Times New Roman" w:hAnsi="Times New Roman"/>
          <w:sz w:val="28"/>
          <w:szCs w:val="28"/>
        </w:rPr>
        <w:t xml:space="preserve">Furthermore, </w:t>
      </w:r>
      <w:r w:rsidR="005B35B3" w:rsidRPr="005B35B3">
        <w:rPr>
          <w:rFonts w:ascii="Times New Roman" w:hAnsi="Times New Roman"/>
          <w:sz w:val="28"/>
          <w:szCs w:val="28"/>
        </w:rPr>
        <w:t xml:space="preserve">some stakeholders believe that </w:t>
      </w:r>
      <w:r w:rsidRPr="005B35B3">
        <w:rPr>
          <w:rFonts w:ascii="Times New Roman" w:hAnsi="Times New Roman"/>
          <w:sz w:val="28"/>
          <w:szCs w:val="28"/>
        </w:rPr>
        <w:t xml:space="preserve">the Commission </w:t>
      </w:r>
      <w:r w:rsidR="005B35B3">
        <w:rPr>
          <w:rFonts w:ascii="Times New Roman" w:hAnsi="Times New Roman"/>
          <w:sz w:val="28"/>
          <w:szCs w:val="28"/>
        </w:rPr>
        <w:t xml:space="preserve">should </w:t>
      </w:r>
      <w:r w:rsidR="009D5372" w:rsidRPr="005B35B3">
        <w:rPr>
          <w:rFonts w:ascii="Times New Roman" w:hAnsi="Times New Roman"/>
          <w:sz w:val="28"/>
          <w:szCs w:val="28"/>
        </w:rPr>
        <w:t>reject</w:t>
      </w:r>
      <w:r w:rsidRPr="005B35B3">
        <w:rPr>
          <w:rFonts w:ascii="Times New Roman" w:hAnsi="Times New Roman"/>
          <w:sz w:val="28"/>
          <w:szCs w:val="28"/>
        </w:rPr>
        <w:t xml:space="preserve"> any smart grid investment which passes</w:t>
      </w:r>
      <w:r w:rsidR="005B35B3" w:rsidRPr="005B35B3">
        <w:rPr>
          <w:rFonts w:ascii="Times New Roman" w:hAnsi="Times New Roman"/>
          <w:sz w:val="28"/>
          <w:szCs w:val="28"/>
        </w:rPr>
        <w:t xml:space="preserve"> only the Societal Cost Test.  Other stakeholders believe that the </w:t>
      </w:r>
      <w:r w:rsidRPr="005B35B3">
        <w:rPr>
          <w:rFonts w:ascii="Times New Roman" w:hAnsi="Times New Roman"/>
          <w:sz w:val="28"/>
          <w:szCs w:val="28"/>
        </w:rPr>
        <w:t xml:space="preserve">Commission should </w:t>
      </w:r>
      <w:r w:rsidRPr="005B35B3">
        <w:rPr>
          <w:rFonts w:ascii="Times New Roman" w:hAnsi="Times New Roman"/>
          <w:sz w:val="28"/>
          <w:szCs w:val="28"/>
        </w:rPr>
        <w:t>approve the investment if the evaluation of one or more of the test</w:t>
      </w:r>
      <w:r w:rsidRPr="005B35B3">
        <w:rPr>
          <w:rFonts w:ascii="Times New Roman" w:hAnsi="Times New Roman"/>
          <w:sz w:val="28"/>
          <w:szCs w:val="28"/>
        </w:rPr>
        <w:t>s is sufficiently strong to ensure that, on balance, the investment would likely serve the best i</w:t>
      </w:r>
      <w:r w:rsidR="005B35B3" w:rsidRPr="005B35B3">
        <w:rPr>
          <w:rFonts w:ascii="Times New Roman" w:hAnsi="Times New Roman"/>
          <w:sz w:val="28"/>
          <w:szCs w:val="28"/>
        </w:rPr>
        <w:t>nterest of Illinois ratepayers.</w:t>
      </w:r>
    </w:p>
    <w:p w:rsidR="008829D4" w:rsidRPr="00DD0AE8" w:rsidRDefault="008829D4" w:rsidP="008829D4">
      <w:pPr>
        <w:spacing w:before="240"/>
        <w:rPr>
          <w:rFonts w:ascii="Times New Roman" w:hAnsi="Times New Roman"/>
          <w:b/>
          <w:sz w:val="28"/>
        </w:rPr>
      </w:pPr>
      <w:r w:rsidRPr="00DD0AE8">
        <w:rPr>
          <w:rFonts w:ascii="Times New Roman" w:hAnsi="Times New Roman"/>
          <w:b/>
          <w:sz w:val="28"/>
        </w:rPr>
        <w:t>Sensitivity Analysis</w:t>
      </w:r>
    </w:p>
    <w:p w:rsidR="008829D4" w:rsidRPr="00DD0AE8" w:rsidRDefault="008829D4" w:rsidP="008829D4">
      <w:pPr>
        <w:spacing w:before="240"/>
        <w:rPr>
          <w:rFonts w:ascii="Times New Roman" w:hAnsi="Times New Roman"/>
          <w:sz w:val="28"/>
        </w:rPr>
      </w:pPr>
      <w:r w:rsidRPr="00DD0AE8">
        <w:rPr>
          <w:rFonts w:ascii="Times New Roman" w:hAnsi="Times New Roman"/>
          <w:sz w:val="28"/>
        </w:rPr>
        <w:t xml:space="preserve">Most cost-benefit evaluations include some form of sensitivity analysis in which key variables, especially those </w:t>
      </w:r>
      <w:r>
        <w:rPr>
          <w:rFonts w:ascii="Times New Roman" w:hAnsi="Times New Roman"/>
          <w:sz w:val="28"/>
        </w:rPr>
        <w:t>that</w:t>
      </w:r>
      <w:r w:rsidRPr="00DD0AE8">
        <w:rPr>
          <w:rFonts w:ascii="Times New Roman" w:hAnsi="Times New Roman"/>
          <w:sz w:val="28"/>
        </w:rPr>
        <w:t xml:space="preserve"> are less certain, are modified to determine how much results would change from the “base case” (i.e., that with the greatest level of expectation).  There is consensus </w:t>
      </w:r>
      <w:r>
        <w:rPr>
          <w:rFonts w:ascii="Times New Roman" w:hAnsi="Times New Roman"/>
          <w:sz w:val="28"/>
        </w:rPr>
        <w:t>among the Collaborative</w:t>
      </w:r>
      <w:r w:rsidRPr="00DD0AE8">
        <w:rPr>
          <w:rFonts w:ascii="Times New Roman" w:hAnsi="Times New Roman"/>
          <w:sz w:val="28"/>
        </w:rPr>
        <w:t xml:space="preserve"> that sensitivity analysis should be performed for </w:t>
      </w:r>
      <w:r w:rsidR="00EB6A36">
        <w:rPr>
          <w:rFonts w:ascii="Times New Roman" w:hAnsi="Times New Roman"/>
          <w:sz w:val="28"/>
        </w:rPr>
        <w:t>smart grid</w:t>
      </w:r>
      <w:r w:rsidRPr="00DD0AE8">
        <w:rPr>
          <w:rFonts w:ascii="Times New Roman" w:hAnsi="Times New Roman"/>
          <w:sz w:val="28"/>
        </w:rPr>
        <w:t xml:space="preserve"> investments.  </w:t>
      </w:r>
    </w:p>
    <w:p w:rsidR="008829D4" w:rsidRPr="008829D4" w:rsidRDefault="008829D4" w:rsidP="008829D4">
      <w:pPr>
        <w:spacing w:before="240"/>
        <w:ind w:left="360"/>
        <w:rPr>
          <w:rFonts w:ascii="Times New Roman" w:hAnsi="Times New Roman"/>
          <w:b/>
          <w:i/>
          <w:sz w:val="28"/>
        </w:rPr>
      </w:pPr>
      <w:r w:rsidRPr="008829D4">
        <w:rPr>
          <w:rFonts w:ascii="Times New Roman" w:hAnsi="Times New Roman"/>
          <w:b/>
          <w:i/>
          <w:sz w:val="28"/>
        </w:rPr>
        <w:t>Recommendations</w:t>
      </w:r>
    </w:p>
    <w:p w:rsidR="008829D4" w:rsidRPr="00DD0AE8" w:rsidRDefault="008829D4" w:rsidP="008829D4">
      <w:pPr>
        <w:spacing w:before="240"/>
        <w:ind w:left="360"/>
        <w:rPr>
          <w:rFonts w:ascii="Times New Roman" w:hAnsi="Times New Roman"/>
          <w:sz w:val="28"/>
        </w:rPr>
      </w:pPr>
      <w:r>
        <w:rPr>
          <w:rFonts w:ascii="Times New Roman" w:hAnsi="Times New Roman"/>
          <w:sz w:val="28"/>
        </w:rPr>
        <w:t>U</w:t>
      </w:r>
      <w:r w:rsidRPr="00DD0AE8">
        <w:rPr>
          <w:rFonts w:ascii="Times New Roman" w:hAnsi="Times New Roman"/>
          <w:sz w:val="28"/>
        </w:rPr>
        <w:t xml:space="preserve">tilities should be required to include a sensitivity analysis as part of the cost-benefit information filing to support their </w:t>
      </w:r>
      <w:r w:rsidR="00EB6A36">
        <w:rPr>
          <w:rFonts w:ascii="Times New Roman" w:hAnsi="Times New Roman"/>
          <w:sz w:val="28"/>
        </w:rPr>
        <w:t>smart grid</w:t>
      </w:r>
      <w:r w:rsidRPr="00DD0AE8">
        <w:rPr>
          <w:rFonts w:ascii="Times New Roman" w:hAnsi="Times New Roman"/>
          <w:sz w:val="28"/>
        </w:rPr>
        <w:t xml:space="preserve"> investments.  While reasonable discretion should be provided in terms of the variables and assumptions to be included, the sensitivity analysis should:</w:t>
      </w:r>
    </w:p>
    <w:p w:rsidR="00D328EB" w:rsidRDefault="008829D4">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Identify the key variables from the cost-benefit analysis that merit sensitivity analysis.  Good candidates for inclusion are variables (such as emission costs and reliability) that have a wide range of potential values and/or are more subjective in nature.</w:t>
      </w:r>
    </w:p>
    <w:p w:rsidR="00D328EB" w:rsidRDefault="008829D4">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Produce cost-benefit results using alternate values for the variables in order to demonstrate the sensitivity/impact various scenarios might have on the economic profile of the </w:t>
      </w:r>
      <w:r w:rsidR="00EB6A36">
        <w:rPr>
          <w:rFonts w:ascii="Times New Roman" w:eastAsia="+mn-ea" w:hAnsi="Times New Roman"/>
          <w:color w:val="000000"/>
          <w:sz w:val="28"/>
          <w:szCs w:val="28"/>
        </w:rPr>
        <w:t>smart grid</w:t>
      </w:r>
      <w:r w:rsidRPr="00E67DF6">
        <w:rPr>
          <w:rFonts w:ascii="Times New Roman" w:eastAsia="+mn-ea" w:hAnsi="Times New Roman"/>
          <w:color w:val="000000"/>
          <w:sz w:val="28"/>
          <w:szCs w:val="28"/>
        </w:rPr>
        <w:t xml:space="preserve"> investments.</w:t>
      </w:r>
    </w:p>
    <w:p w:rsidR="00371C4F" w:rsidRPr="00DD0AE8" w:rsidRDefault="00371C4F" w:rsidP="00371C4F">
      <w:pPr>
        <w:spacing w:before="240"/>
        <w:rPr>
          <w:rFonts w:ascii="Times New Roman" w:hAnsi="Times New Roman"/>
          <w:b/>
          <w:sz w:val="28"/>
        </w:rPr>
      </w:pPr>
      <w:r w:rsidRPr="00DD0AE8">
        <w:rPr>
          <w:rFonts w:ascii="Times New Roman" w:hAnsi="Times New Roman"/>
          <w:b/>
          <w:sz w:val="28"/>
        </w:rPr>
        <w:t xml:space="preserve">Benefits Dependent on Penetration Levels and/or Changes in Customer Behavior </w:t>
      </w:r>
    </w:p>
    <w:p w:rsidR="00371C4F" w:rsidRPr="00DD0AE8" w:rsidRDefault="00371C4F" w:rsidP="00371C4F">
      <w:pPr>
        <w:spacing w:before="240"/>
        <w:rPr>
          <w:rFonts w:ascii="Times New Roman" w:hAnsi="Times New Roman"/>
          <w:sz w:val="28"/>
        </w:rPr>
      </w:pPr>
      <w:r w:rsidRPr="00DD0AE8">
        <w:rPr>
          <w:rFonts w:ascii="Times New Roman" w:hAnsi="Times New Roman"/>
          <w:sz w:val="28"/>
        </w:rPr>
        <w:lastRenderedPageBreak/>
        <w:t xml:space="preserve">For some </w:t>
      </w:r>
      <w:r w:rsidR="00EB6A36">
        <w:rPr>
          <w:rFonts w:ascii="Times New Roman" w:hAnsi="Times New Roman"/>
          <w:sz w:val="28"/>
        </w:rPr>
        <w:t>smart grid</w:t>
      </w:r>
      <w:r w:rsidRPr="00DD0AE8">
        <w:rPr>
          <w:rFonts w:ascii="Times New Roman" w:hAnsi="Times New Roman"/>
          <w:sz w:val="28"/>
        </w:rPr>
        <w:t xml:space="preserve"> applications (</w:t>
      </w:r>
      <w:r>
        <w:rPr>
          <w:rFonts w:ascii="Times New Roman" w:hAnsi="Times New Roman"/>
          <w:sz w:val="28"/>
        </w:rPr>
        <w:t xml:space="preserve">e.g., </w:t>
      </w:r>
      <w:r w:rsidRPr="00DD0AE8">
        <w:rPr>
          <w:rFonts w:ascii="Times New Roman" w:hAnsi="Times New Roman"/>
          <w:sz w:val="28"/>
        </w:rPr>
        <w:t xml:space="preserve">those associated with demand response), the level of benefits expected is dependent on an assumed level of customer participation and/or changes in customer behavior.  Therefore, there is a degree of uncertainty with respect to benefits that should be expected from these </w:t>
      </w:r>
      <w:r w:rsidR="00EB6A36">
        <w:rPr>
          <w:rFonts w:ascii="Times New Roman" w:hAnsi="Times New Roman"/>
          <w:sz w:val="28"/>
        </w:rPr>
        <w:t>smart grid</w:t>
      </w:r>
      <w:r w:rsidRPr="00DD0AE8">
        <w:rPr>
          <w:rFonts w:ascii="Times New Roman" w:hAnsi="Times New Roman"/>
          <w:sz w:val="28"/>
        </w:rPr>
        <w:t xml:space="preserve"> applications. </w:t>
      </w:r>
    </w:p>
    <w:p w:rsidR="00371C4F" w:rsidRPr="00D93DDD" w:rsidRDefault="00371C4F" w:rsidP="00371C4F">
      <w:pPr>
        <w:spacing w:before="240"/>
        <w:ind w:left="360"/>
        <w:rPr>
          <w:rFonts w:ascii="Times New Roman" w:hAnsi="Times New Roman"/>
          <w:b/>
          <w:i/>
          <w:sz w:val="28"/>
        </w:rPr>
      </w:pPr>
      <w:r w:rsidRPr="00D93DDD">
        <w:rPr>
          <w:rFonts w:ascii="Times New Roman" w:hAnsi="Times New Roman"/>
          <w:b/>
          <w:i/>
          <w:sz w:val="28"/>
        </w:rPr>
        <w:t>Recommendations</w:t>
      </w:r>
    </w:p>
    <w:p w:rsidR="00371C4F" w:rsidRPr="00DD0AE8" w:rsidRDefault="00371C4F" w:rsidP="00371C4F">
      <w:pPr>
        <w:spacing w:before="240"/>
        <w:ind w:left="360"/>
        <w:rPr>
          <w:rFonts w:ascii="Times New Roman" w:hAnsi="Times New Roman"/>
          <w:sz w:val="28"/>
        </w:rPr>
      </w:pPr>
      <w:r w:rsidRPr="00DD0AE8">
        <w:rPr>
          <w:rFonts w:ascii="Times New Roman" w:hAnsi="Times New Roman"/>
          <w:sz w:val="28"/>
        </w:rPr>
        <w:t>The utilities should make best efforts to incorporate into the cost-benefit analysis reasonable estimates for customer participation, the impacts on customer bills, usage, and peak load reduction, as well as estimates of the persistence of customer behavior and estimated benefits over a lengthy period of time.</w:t>
      </w:r>
      <w:r w:rsidR="009D6106">
        <w:rPr>
          <w:rFonts w:ascii="Times New Roman" w:hAnsi="Times New Roman"/>
          <w:sz w:val="28"/>
        </w:rPr>
        <w:t xml:space="preserve">  </w:t>
      </w:r>
      <w:r w:rsidRPr="00DD0AE8">
        <w:rPr>
          <w:rFonts w:ascii="Times New Roman" w:hAnsi="Times New Roman"/>
          <w:sz w:val="28"/>
        </w:rPr>
        <w:t xml:space="preserve">Costs needed to realize the projected behavioral impacts should be included in the cost-benefit analysis.   </w:t>
      </w:r>
    </w:p>
    <w:p w:rsidR="00371C4F" w:rsidRPr="00DD0AE8" w:rsidRDefault="00371C4F" w:rsidP="00371C4F">
      <w:pPr>
        <w:spacing w:before="240"/>
        <w:ind w:left="360"/>
        <w:rPr>
          <w:rFonts w:ascii="Times New Roman" w:hAnsi="Times New Roman"/>
          <w:sz w:val="28"/>
        </w:rPr>
      </w:pPr>
      <w:r w:rsidRPr="00DD0AE8">
        <w:rPr>
          <w:rFonts w:ascii="Times New Roman" w:hAnsi="Times New Roman"/>
          <w:sz w:val="28"/>
        </w:rPr>
        <w:t>The degree of participation, assumed behavioral impacts, and persistence of customer behavior changes should be among the variables</w:t>
      </w:r>
      <w:r>
        <w:rPr>
          <w:rFonts w:ascii="Times New Roman" w:hAnsi="Times New Roman"/>
          <w:sz w:val="28"/>
        </w:rPr>
        <w:t xml:space="preserve"> included in sensitivity analyse</w:t>
      </w:r>
      <w:r w:rsidRPr="00DD0AE8">
        <w:rPr>
          <w:rFonts w:ascii="Times New Roman" w:hAnsi="Times New Roman"/>
          <w:sz w:val="28"/>
        </w:rPr>
        <w:t xml:space="preserve">s.  </w:t>
      </w:r>
    </w:p>
    <w:p w:rsidR="007E1617" w:rsidRPr="00DD0AE8" w:rsidRDefault="007E1617">
      <w:pPr>
        <w:spacing w:before="240"/>
        <w:rPr>
          <w:rFonts w:ascii="Times New Roman" w:hAnsi="Times New Roman"/>
          <w:b/>
          <w:sz w:val="28"/>
        </w:rPr>
      </w:pPr>
      <w:r w:rsidRPr="00DD0AE8">
        <w:rPr>
          <w:rFonts w:ascii="Times New Roman" w:hAnsi="Times New Roman"/>
          <w:b/>
          <w:sz w:val="28"/>
        </w:rPr>
        <w:t>Appropriate Timeframe for Cost-Benefit Analysis</w:t>
      </w:r>
    </w:p>
    <w:p w:rsidR="00B338DB" w:rsidRPr="008C0D90" w:rsidRDefault="000B36C3" w:rsidP="00D93DDD">
      <w:pPr>
        <w:tabs>
          <w:tab w:val="left" w:pos="360"/>
        </w:tabs>
        <w:spacing w:before="240"/>
        <w:rPr>
          <w:rFonts w:ascii="Times New Roman" w:hAnsi="Times New Roman"/>
          <w:sz w:val="28"/>
        </w:rPr>
      </w:pPr>
      <w:r w:rsidRPr="00083BDD">
        <w:rPr>
          <w:rFonts w:ascii="Times New Roman" w:hAnsi="Times New Roman"/>
          <w:sz w:val="28"/>
        </w:rPr>
        <w:t>Evaluation issues arise if the useful life assumed for economic evaluation purposes is significantly different from the actual life of the asset (i.e., an overly optimistic or pessimistic projection of benefits could result).  Also, it may be appropriate to bundle a set of applications together for evaluation purposes if the applications are dependent upon each other to deliver the intended functionality.  For example, an investment in Core AMI functionality may also include outage management and remote connect/disconnect functionality.  In cases such as this, questions may arise as to how to evaluate the package appropriately from a useful life perspective.</w:t>
      </w:r>
    </w:p>
    <w:p w:rsidR="007E1617" w:rsidRPr="00D93DDD" w:rsidRDefault="007E1617" w:rsidP="00D93DDD">
      <w:pPr>
        <w:spacing w:before="240"/>
        <w:ind w:left="360"/>
        <w:rPr>
          <w:rFonts w:ascii="Times New Roman" w:hAnsi="Times New Roman"/>
          <w:b/>
          <w:i/>
          <w:sz w:val="28"/>
        </w:rPr>
      </w:pPr>
      <w:r w:rsidRPr="00D93DDD">
        <w:rPr>
          <w:rFonts w:ascii="Times New Roman" w:hAnsi="Times New Roman"/>
          <w:b/>
          <w:i/>
          <w:sz w:val="28"/>
        </w:rPr>
        <w:t>Recommendations</w:t>
      </w:r>
    </w:p>
    <w:p w:rsidR="007E1617" w:rsidRPr="0098026D" w:rsidRDefault="007E1617" w:rsidP="00D93DDD">
      <w:pPr>
        <w:tabs>
          <w:tab w:val="left" w:pos="360"/>
        </w:tabs>
        <w:spacing w:before="240"/>
        <w:ind w:left="360"/>
        <w:rPr>
          <w:rFonts w:ascii="Times New Roman" w:hAnsi="Times New Roman"/>
          <w:sz w:val="28"/>
          <w:szCs w:val="28"/>
        </w:rPr>
      </w:pPr>
      <w:r w:rsidRPr="00DD0AE8">
        <w:rPr>
          <w:rFonts w:ascii="Times New Roman" w:hAnsi="Times New Roman"/>
          <w:sz w:val="28"/>
        </w:rPr>
        <w:t xml:space="preserve">An entire “package” of related </w:t>
      </w:r>
      <w:r w:rsidR="00EB6A36">
        <w:rPr>
          <w:rFonts w:ascii="Times New Roman" w:hAnsi="Times New Roman"/>
          <w:sz w:val="28"/>
        </w:rPr>
        <w:t>smart grid</w:t>
      </w:r>
      <w:r w:rsidRPr="00DD0AE8">
        <w:rPr>
          <w:rFonts w:ascii="Times New Roman" w:hAnsi="Times New Roman"/>
          <w:sz w:val="28"/>
        </w:rPr>
        <w:t xml:space="preserve"> investments/applications should be included in a consolidated cost-benefit evaluation and considered over a single timeframe.</w:t>
      </w:r>
      <w:r w:rsidR="00D93DDD">
        <w:rPr>
          <w:rFonts w:ascii="Times New Roman" w:hAnsi="Times New Roman"/>
          <w:sz w:val="28"/>
        </w:rPr>
        <w:t xml:space="preserve">  However, </w:t>
      </w:r>
      <w:r w:rsidR="00EB6A36">
        <w:rPr>
          <w:rFonts w:ascii="Times New Roman" w:hAnsi="Times New Roman"/>
          <w:sz w:val="28"/>
        </w:rPr>
        <w:t>smart grid</w:t>
      </w:r>
      <w:r w:rsidRPr="00DD0AE8">
        <w:rPr>
          <w:rFonts w:ascii="Times New Roman" w:hAnsi="Times New Roman"/>
          <w:sz w:val="28"/>
        </w:rPr>
        <w:t xml:space="preserve"> investments/applications should be grouped into a package only if they are needed to function together</w:t>
      </w:r>
      <w:r w:rsidR="005A1E40">
        <w:rPr>
          <w:rFonts w:ascii="Times New Roman" w:hAnsi="Times New Roman"/>
          <w:sz w:val="28"/>
        </w:rPr>
        <w:t xml:space="preserve"> or provide otherwise unachievable synergies</w:t>
      </w:r>
      <w:r w:rsidRPr="00DD0AE8">
        <w:rPr>
          <w:rFonts w:ascii="Times New Roman" w:hAnsi="Times New Roman"/>
          <w:sz w:val="28"/>
        </w:rPr>
        <w:t>.</w:t>
      </w:r>
      <w:r w:rsidR="00D93DDD">
        <w:rPr>
          <w:rFonts w:ascii="Times New Roman" w:hAnsi="Times New Roman"/>
          <w:sz w:val="28"/>
        </w:rPr>
        <w:t xml:space="preserve">  </w:t>
      </w:r>
      <w:r w:rsidR="0025311C">
        <w:rPr>
          <w:rFonts w:ascii="Times New Roman" w:hAnsi="Times New Roman"/>
          <w:sz w:val="28"/>
        </w:rPr>
        <w:t xml:space="preserve">To the extent that it is feasible to separate underlying </w:t>
      </w:r>
      <w:r w:rsidR="0025311C">
        <w:rPr>
          <w:rFonts w:ascii="Times New Roman" w:hAnsi="Times New Roman"/>
          <w:sz w:val="28"/>
        </w:rPr>
        <w:lastRenderedPageBreak/>
        <w:t xml:space="preserve">platforms from individual applications, smart grid </w:t>
      </w:r>
      <w:r w:rsidRPr="00DD0AE8">
        <w:rPr>
          <w:rFonts w:ascii="Times New Roman" w:hAnsi="Times New Roman"/>
          <w:sz w:val="28"/>
        </w:rPr>
        <w:t xml:space="preserve">applications contained within a package should still be subject to </w:t>
      </w:r>
      <w:r w:rsidR="0009576D">
        <w:rPr>
          <w:rFonts w:ascii="Times New Roman" w:hAnsi="Times New Roman"/>
          <w:sz w:val="28"/>
        </w:rPr>
        <w:t xml:space="preserve">an </w:t>
      </w:r>
      <w:r w:rsidRPr="00DD0AE8">
        <w:rPr>
          <w:rFonts w:ascii="Times New Roman" w:hAnsi="Times New Roman"/>
          <w:sz w:val="28"/>
        </w:rPr>
        <w:t>individual cost-benefit analysis based on their stand-alone incremental costs and benefits</w:t>
      </w:r>
      <w:r w:rsidRPr="0098026D">
        <w:rPr>
          <w:rFonts w:ascii="Times New Roman" w:hAnsi="Times New Roman"/>
          <w:sz w:val="28"/>
          <w:szCs w:val="28"/>
        </w:rPr>
        <w:t>.</w:t>
      </w:r>
      <w:r w:rsidR="0098026D" w:rsidRPr="0098026D">
        <w:rPr>
          <w:rFonts w:ascii="Times New Roman" w:hAnsi="Times New Roman"/>
          <w:sz w:val="28"/>
          <w:szCs w:val="28"/>
        </w:rPr>
        <w:t xml:space="preserve"> </w:t>
      </w:r>
    </w:p>
    <w:p w:rsidR="00351CD6" w:rsidRDefault="00351CD6" w:rsidP="00D93DDD">
      <w:pPr>
        <w:tabs>
          <w:tab w:val="left" w:pos="360"/>
        </w:tabs>
        <w:spacing w:before="240"/>
        <w:ind w:left="360"/>
        <w:rPr>
          <w:rFonts w:ascii="Times New Roman" w:hAnsi="Times New Roman"/>
          <w:bCs/>
          <w:sz w:val="28"/>
          <w:szCs w:val="28"/>
        </w:rPr>
      </w:pPr>
      <w:r w:rsidRPr="00085C32">
        <w:rPr>
          <w:rFonts w:ascii="Times New Roman" w:hAnsi="Times New Roman"/>
          <w:bCs/>
          <w:sz w:val="28"/>
          <w:szCs w:val="28"/>
        </w:rPr>
        <w:t xml:space="preserve">The length of time over which a cost benefit analysis is calculated should reflect the </w:t>
      </w:r>
      <w:r w:rsidR="00B1402F" w:rsidRPr="00085C32">
        <w:rPr>
          <w:rFonts w:ascii="Times New Roman" w:hAnsi="Times New Roman"/>
          <w:bCs/>
          <w:sz w:val="28"/>
          <w:szCs w:val="28"/>
        </w:rPr>
        <w:t xml:space="preserve">projected </w:t>
      </w:r>
      <w:r w:rsidRPr="00085C32">
        <w:rPr>
          <w:rFonts w:ascii="Times New Roman" w:hAnsi="Times New Roman"/>
          <w:bCs/>
          <w:sz w:val="28"/>
          <w:szCs w:val="28"/>
        </w:rPr>
        <w:t>useful life of the smart grid investment or system.  “Useful life” means the continuous period of time when the components and system of the investment operate correctly and reliably to perform their designed functions.</w:t>
      </w:r>
      <w:r w:rsidRPr="00085C32">
        <w:rPr>
          <w:rFonts w:ascii="Times New Roman" w:hAnsi="Times New Roman"/>
          <w:sz w:val="28"/>
          <w:szCs w:val="28"/>
        </w:rPr>
        <w:t xml:space="preserve">  </w:t>
      </w:r>
      <w:r w:rsidRPr="00085C32">
        <w:rPr>
          <w:rFonts w:ascii="Times New Roman" w:hAnsi="Times New Roman"/>
          <w:bCs/>
          <w:sz w:val="28"/>
          <w:szCs w:val="28"/>
        </w:rPr>
        <w:t xml:space="preserve">Absent any persuasive contrary evidence, the depreciable life of the investment </w:t>
      </w:r>
      <w:r w:rsidR="0025311C" w:rsidRPr="00085C32">
        <w:rPr>
          <w:rFonts w:ascii="Times New Roman" w:hAnsi="Times New Roman"/>
          <w:bCs/>
          <w:sz w:val="28"/>
          <w:szCs w:val="28"/>
        </w:rPr>
        <w:t xml:space="preserve">for regulatory </w:t>
      </w:r>
      <w:r w:rsidR="00C541A5" w:rsidRPr="00085C32">
        <w:rPr>
          <w:rFonts w:ascii="Times New Roman" w:hAnsi="Times New Roman"/>
          <w:bCs/>
          <w:sz w:val="28"/>
          <w:szCs w:val="28"/>
        </w:rPr>
        <w:t xml:space="preserve">(non-tax) </w:t>
      </w:r>
      <w:r w:rsidR="0025311C" w:rsidRPr="00085C32">
        <w:rPr>
          <w:rFonts w:ascii="Times New Roman" w:hAnsi="Times New Roman"/>
          <w:bCs/>
          <w:sz w:val="28"/>
          <w:szCs w:val="28"/>
        </w:rPr>
        <w:t xml:space="preserve">purposes </w:t>
      </w:r>
      <w:r w:rsidRPr="00085C32">
        <w:rPr>
          <w:rFonts w:ascii="Times New Roman" w:hAnsi="Times New Roman"/>
          <w:bCs/>
          <w:sz w:val="28"/>
          <w:szCs w:val="28"/>
        </w:rPr>
        <w:t>should match the useful life of the investment.  The utility should document the basis for its de</w:t>
      </w:r>
      <w:r w:rsidR="00806E80">
        <w:rPr>
          <w:rFonts w:ascii="Times New Roman" w:hAnsi="Times New Roman"/>
          <w:bCs/>
          <w:sz w:val="28"/>
          <w:szCs w:val="28"/>
        </w:rPr>
        <w:t xml:space="preserve">termination of the </w:t>
      </w:r>
      <w:r w:rsidRPr="00085C32">
        <w:rPr>
          <w:rFonts w:ascii="Times New Roman" w:hAnsi="Times New Roman"/>
          <w:bCs/>
          <w:sz w:val="28"/>
          <w:szCs w:val="28"/>
        </w:rPr>
        <w:t>useful life</w:t>
      </w:r>
      <w:r w:rsidR="00806E80">
        <w:rPr>
          <w:rFonts w:ascii="Times New Roman" w:hAnsi="Times New Roman"/>
          <w:bCs/>
          <w:sz w:val="28"/>
          <w:szCs w:val="28"/>
        </w:rPr>
        <w:t xml:space="preserve"> of the investment</w:t>
      </w:r>
      <w:r w:rsidRPr="00085C32">
        <w:rPr>
          <w:rFonts w:ascii="Times New Roman" w:hAnsi="Times New Roman"/>
          <w:bCs/>
          <w:sz w:val="28"/>
          <w:szCs w:val="28"/>
        </w:rPr>
        <w:t>.  The utility should also document the length of time over which reasonable customer benefits can be reliably estimated.</w:t>
      </w:r>
    </w:p>
    <w:p w:rsidR="00371C4F" w:rsidRPr="00371C4F" w:rsidRDefault="00371C4F" w:rsidP="00371C4F">
      <w:pPr>
        <w:tabs>
          <w:tab w:val="left" w:pos="360"/>
        </w:tabs>
        <w:spacing w:before="240"/>
        <w:ind w:left="360"/>
        <w:rPr>
          <w:rFonts w:ascii="Times New Roman" w:hAnsi="Times New Roman"/>
          <w:bCs/>
          <w:sz w:val="28"/>
          <w:szCs w:val="28"/>
        </w:rPr>
      </w:pPr>
      <w:r w:rsidRPr="00371C4F">
        <w:rPr>
          <w:rFonts w:ascii="Times New Roman" w:hAnsi="Times New Roman"/>
          <w:bCs/>
          <w:sz w:val="28"/>
          <w:szCs w:val="28"/>
        </w:rPr>
        <w:t xml:space="preserve">Since payback period is an important consideration in technology investments with potentially short useful lives, a payback period should be calculated based on the present value of the annual cash flows of the </w:t>
      </w:r>
      <w:r w:rsidR="00EB6A36">
        <w:rPr>
          <w:rFonts w:ascii="Times New Roman" w:hAnsi="Times New Roman"/>
          <w:bCs/>
          <w:sz w:val="28"/>
          <w:szCs w:val="28"/>
        </w:rPr>
        <w:t>smart grid</w:t>
      </w:r>
      <w:r w:rsidRPr="00371C4F">
        <w:rPr>
          <w:rFonts w:ascii="Times New Roman" w:hAnsi="Times New Roman"/>
          <w:bCs/>
          <w:sz w:val="28"/>
          <w:szCs w:val="28"/>
        </w:rPr>
        <w:t xml:space="preserve"> investment or package. </w:t>
      </w:r>
    </w:p>
    <w:p w:rsidR="00D93DDD" w:rsidRPr="00DD0AE8" w:rsidRDefault="00D93DDD" w:rsidP="00D93DDD">
      <w:pPr>
        <w:spacing w:before="240"/>
        <w:rPr>
          <w:rFonts w:ascii="Times New Roman" w:hAnsi="Times New Roman"/>
          <w:b/>
          <w:sz w:val="28"/>
        </w:rPr>
      </w:pPr>
      <w:r w:rsidRPr="00DD0AE8">
        <w:rPr>
          <w:rFonts w:ascii="Times New Roman" w:hAnsi="Times New Roman"/>
          <w:b/>
          <w:sz w:val="28"/>
        </w:rPr>
        <w:t xml:space="preserve">Treatment of Smart Grid Applications with Shared Infrastructure Investments </w:t>
      </w:r>
    </w:p>
    <w:p w:rsidR="00D93DDD" w:rsidRPr="00DD0AE8" w:rsidRDefault="00D93DDD" w:rsidP="00D93DDD">
      <w:pPr>
        <w:spacing w:before="240"/>
        <w:rPr>
          <w:rFonts w:ascii="Times New Roman" w:hAnsi="Times New Roman"/>
          <w:sz w:val="28"/>
        </w:rPr>
      </w:pPr>
      <w:r w:rsidRPr="00DD0AE8">
        <w:rPr>
          <w:rFonts w:ascii="Times New Roman" w:hAnsi="Times New Roman"/>
          <w:sz w:val="28"/>
        </w:rPr>
        <w:t xml:space="preserve">Some issues in this area were dealt with in the context of the appropriate timeframe issues discussed earlier in this document.  One of the remaining questions was: should applications that are included in a package as part of a shared infrastructure investment </w:t>
      </w:r>
      <w:r w:rsidR="00187D8F">
        <w:rPr>
          <w:rFonts w:ascii="Times New Roman" w:hAnsi="Times New Roman"/>
          <w:sz w:val="28"/>
        </w:rPr>
        <w:t xml:space="preserve">(an investment in infrastructure that would support multiple applications) </w:t>
      </w:r>
      <w:r w:rsidRPr="00DD0AE8">
        <w:rPr>
          <w:rFonts w:ascii="Times New Roman" w:hAnsi="Times New Roman"/>
          <w:sz w:val="28"/>
        </w:rPr>
        <w:t xml:space="preserve">be considered individually?  Of concern are the multiple permutations that could occur with a shared infrastructure investment that enables/facilitates multiple </w:t>
      </w:r>
      <w:r w:rsidR="00EB6A36">
        <w:rPr>
          <w:rFonts w:ascii="Times New Roman" w:hAnsi="Times New Roman"/>
          <w:sz w:val="28"/>
        </w:rPr>
        <w:t>smart grid</w:t>
      </w:r>
      <w:r w:rsidRPr="00DD0AE8">
        <w:rPr>
          <w:rFonts w:ascii="Times New Roman" w:hAnsi="Times New Roman"/>
          <w:sz w:val="28"/>
        </w:rPr>
        <w:t xml:space="preserve"> applications by the utility or others.  It could become unduly burdensome were a separate analysis required for each individual application and each potential combination. </w:t>
      </w:r>
    </w:p>
    <w:p w:rsidR="00D93DDD" w:rsidRPr="00DD0AE8" w:rsidRDefault="00D93DDD" w:rsidP="00D93DDD">
      <w:pPr>
        <w:spacing w:before="240"/>
        <w:rPr>
          <w:rFonts w:ascii="Times New Roman" w:hAnsi="Times New Roman"/>
          <w:sz w:val="28"/>
        </w:rPr>
      </w:pPr>
      <w:r w:rsidRPr="00DD0AE8">
        <w:rPr>
          <w:rFonts w:ascii="Times New Roman" w:hAnsi="Times New Roman"/>
          <w:sz w:val="28"/>
        </w:rPr>
        <w:t>Another key issue is how to deal with an infrastructure investment that could potentially provide revenues from unregulated activities by the util</w:t>
      </w:r>
      <w:r w:rsidR="0009576D">
        <w:rPr>
          <w:rFonts w:ascii="Times New Roman" w:hAnsi="Times New Roman"/>
          <w:sz w:val="28"/>
        </w:rPr>
        <w:t xml:space="preserve">ity or others (for example, </w:t>
      </w:r>
      <w:r w:rsidRPr="00DD0AE8">
        <w:rPr>
          <w:rFonts w:ascii="Times New Roman" w:hAnsi="Times New Roman"/>
          <w:sz w:val="28"/>
        </w:rPr>
        <w:t xml:space="preserve">communications infrastructure). Of importance in a cost-benefit evaluation is ensuring that expectations for non-regulated revenue are accounted </w:t>
      </w:r>
      <w:r w:rsidRPr="00DD0AE8">
        <w:rPr>
          <w:rFonts w:ascii="Times New Roman" w:hAnsi="Times New Roman"/>
          <w:sz w:val="28"/>
        </w:rPr>
        <w:lastRenderedPageBreak/>
        <w:t xml:space="preserve">for appropriately, and that regulated utility investment (expected to be funded by “above-the-line” utility revenues) is justified by the regulated utility benefits.  </w:t>
      </w:r>
    </w:p>
    <w:p w:rsidR="00D93DDD" w:rsidRPr="00D93DDD" w:rsidRDefault="00D93DDD" w:rsidP="00D93DDD">
      <w:pPr>
        <w:spacing w:before="240"/>
        <w:ind w:left="360"/>
        <w:rPr>
          <w:rFonts w:ascii="Times New Roman" w:hAnsi="Times New Roman"/>
          <w:b/>
          <w:i/>
          <w:sz w:val="28"/>
        </w:rPr>
      </w:pPr>
      <w:r w:rsidRPr="00D93DDD">
        <w:rPr>
          <w:rFonts w:ascii="Times New Roman" w:hAnsi="Times New Roman"/>
          <w:b/>
          <w:i/>
          <w:sz w:val="28"/>
        </w:rPr>
        <w:t>Recommendations</w:t>
      </w:r>
    </w:p>
    <w:p w:rsidR="00D93DDD" w:rsidRPr="00DD0AE8" w:rsidRDefault="00D93DDD" w:rsidP="00D93DDD">
      <w:pPr>
        <w:spacing w:before="240"/>
        <w:ind w:left="360"/>
        <w:rPr>
          <w:rFonts w:ascii="Times New Roman" w:hAnsi="Times New Roman"/>
          <w:sz w:val="28"/>
        </w:rPr>
      </w:pPr>
      <w:r w:rsidRPr="00DD0AE8">
        <w:rPr>
          <w:rFonts w:ascii="Times New Roman" w:hAnsi="Times New Roman"/>
          <w:sz w:val="28"/>
        </w:rPr>
        <w:t xml:space="preserve">Wherever and to the extent possible, a utility’s shared infrastructure investments (those that support multiple applications) should also incorporate </w:t>
      </w:r>
      <w:r>
        <w:rPr>
          <w:rFonts w:ascii="Times New Roman" w:hAnsi="Times New Roman"/>
          <w:sz w:val="28"/>
        </w:rPr>
        <w:t>the known and measur</w:t>
      </w:r>
      <w:r w:rsidRPr="00DD0AE8">
        <w:rPr>
          <w:rFonts w:ascii="Times New Roman" w:hAnsi="Times New Roman"/>
          <w:sz w:val="28"/>
        </w:rPr>
        <w:t xml:space="preserve">able costs and benefits of </w:t>
      </w:r>
      <w:r>
        <w:rPr>
          <w:rFonts w:ascii="Times New Roman" w:hAnsi="Times New Roman"/>
          <w:sz w:val="28"/>
        </w:rPr>
        <w:t xml:space="preserve">all </w:t>
      </w:r>
      <w:r w:rsidRPr="00DD0AE8">
        <w:rPr>
          <w:rFonts w:ascii="Times New Roman" w:hAnsi="Times New Roman"/>
          <w:sz w:val="28"/>
        </w:rPr>
        <w:t xml:space="preserve">of the associated applications in the cost-benefit analysis.  When </w:t>
      </w:r>
      <w:r>
        <w:rPr>
          <w:rFonts w:ascii="Times New Roman" w:hAnsi="Times New Roman"/>
          <w:sz w:val="28"/>
        </w:rPr>
        <w:t xml:space="preserve">that is </w:t>
      </w:r>
      <w:r w:rsidRPr="00DD0AE8">
        <w:rPr>
          <w:rFonts w:ascii="Times New Roman" w:hAnsi="Times New Roman"/>
          <w:sz w:val="28"/>
        </w:rPr>
        <w:t>not possible, the infrastructure investment should be supported in the cost-benefit analysis by only those applications being used to justify the utility investment</w:t>
      </w:r>
      <w:r>
        <w:rPr>
          <w:rFonts w:ascii="Times New Roman" w:hAnsi="Times New Roman"/>
          <w:sz w:val="28"/>
        </w:rPr>
        <w:t>.</w:t>
      </w:r>
      <w:r w:rsidRPr="00DD0AE8">
        <w:rPr>
          <w:rFonts w:ascii="Times New Roman" w:hAnsi="Times New Roman"/>
          <w:sz w:val="28"/>
        </w:rPr>
        <w:t xml:space="preserve"> </w:t>
      </w:r>
      <w:r>
        <w:rPr>
          <w:rFonts w:ascii="Times New Roman" w:hAnsi="Times New Roman"/>
          <w:sz w:val="28"/>
        </w:rPr>
        <w:t xml:space="preserve">(Potential </w:t>
      </w:r>
      <w:r w:rsidRPr="00DD0AE8">
        <w:rPr>
          <w:rFonts w:ascii="Times New Roman" w:hAnsi="Times New Roman"/>
          <w:sz w:val="28"/>
        </w:rPr>
        <w:t>fu</w:t>
      </w:r>
      <w:r w:rsidR="00806E80">
        <w:rPr>
          <w:rFonts w:ascii="Times New Roman" w:hAnsi="Times New Roman"/>
          <w:sz w:val="28"/>
        </w:rPr>
        <w:t xml:space="preserve">ture applications and benefits </w:t>
      </w:r>
      <w:r w:rsidRPr="00DD0AE8">
        <w:rPr>
          <w:rFonts w:ascii="Times New Roman" w:hAnsi="Times New Roman"/>
          <w:sz w:val="28"/>
        </w:rPr>
        <w:t>not included as part of the implementation package</w:t>
      </w:r>
      <w:r>
        <w:rPr>
          <w:rFonts w:ascii="Times New Roman" w:hAnsi="Times New Roman"/>
          <w:sz w:val="28"/>
        </w:rPr>
        <w:t xml:space="preserve"> could be treated separately as an option value</w:t>
      </w:r>
      <w:r w:rsidRPr="00DD0AE8">
        <w:rPr>
          <w:rFonts w:ascii="Times New Roman" w:hAnsi="Times New Roman"/>
          <w:sz w:val="28"/>
        </w:rPr>
        <w:t>.</w:t>
      </w:r>
      <w:r>
        <w:rPr>
          <w:rFonts w:ascii="Times New Roman" w:hAnsi="Times New Roman"/>
          <w:sz w:val="28"/>
        </w:rPr>
        <w:t>)</w:t>
      </w:r>
      <w:r w:rsidRPr="00DD0AE8">
        <w:rPr>
          <w:rFonts w:ascii="Times New Roman" w:hAnsi="Times New Roman"/>
          <w:sz w:val="28"/>
        </w:rPr>
        <w:t xml:space="preserve">  The rationale behind the packaging of investments should be clearly identified in the utility’s proposal. </w:t>
      </w:r>
    </w:p>
    <w:p w:rsidR="00D93DDD" w:rsidRPr="004D3D69" w:rsidRDefault="00D93DDD" w:rsidP="00D93DDD">
      <w:pPr>
        <w:spacing w:before="240"/>
        <w:ind w:left="360"/>
        <w:rPr>
          <w:rFonts w:ascii="Times New Roman" w:hAnsi="Times New Roman"/>
          <w:sz w:val="28"/>
          <w:szCs w:val="28"/>
        </w:rPr>
      </w:pPr>
      <w:r w:rsidRPr="00DD0AE8">
        <w:rPr>
          <w:rFonts w:ascii="Times New Roman" w:hAnsi="Times New Roman"/>
          <w:sz w:val="28"/>
        </w:rPr>
        <w:t>The cost-benefit analys</w:t>
      </w:r>
      <w:r w:rsidR="0009576D">
        <w:rPr>
          <w:rFonts w:ascii="Times New Roman" w:hAnsi="Times New Roman"/>
          <w:sz w:val="28"/>
        </w:rPr>
        <w:t xml:space="preserve">is should not attempt to assign or </w:t>
      </w:r>
      <w:r w:rsidRPr="00DD0AE8">
        <w:rPr>
          <w:rFonts w:ascii="Times New Roman" w:hAnsi="Times New Roman"/>
          <w:sz w:val="28"/>
        </w:rPr>
        <w:t xml:space="preserve">allocate the relative amount of the total investment and benefits to the individual applications that are supported in the implementation of the shared infrastructure.  However, in order to demonstrate the net benefit of each application supporting the infrastructure investment, each application should be subjected to an individual cost-benefit analysis based on the incremental costs and benefits of the application </w:t>
      </w:r>
      <w:r>
        <w:rPr>
          <w:rFonts w:ascii="Times New Roman" w:hAnsi="Times New Roman"/>
          <w:sz w:val="28"/>
        </w:rPr>
        <w:t>(</w:t>
      </w:r>
      <w:r w:rsidRPr="00DD0AE8">
        <w:rPr>
          <w:rFonts w:ascii="Times New Roman" w:hAnsi="Times New Roman"/>
          <w:sz w:val="28"/>
        </w:rPr>
        <w:t>excluding cost of the shared infrastructure</w:t>
      </w:r>
      <w:r>
        <w:rPr>
          <w:rFonts w:ascii="Times New Roman" w:hAnsi="Times New Roman"/>
          <w:sz w:val="28"/>
        </w:rPr>
        <w:t>)</w:t>
      </w:r>
      <w:r w:rsidRPr="00DD0AE8">
        <w:rPr>
          <w:rFonts w:ascii="Times New Roman" w:hAnsi="Times New Roman"/>
          <w:sz w:val="28"/>
        </w:rPr>
        <w:t>.</w:t>
      </w:r>
    </w:p>
    <w:p w:rsidR="00D93DDD" w:rsidRPr="00DD0AE8" w:rsidRDefault="00D93DDD" w:rsidP="00D93DDD">
      <w:pPr>
        <w:spacing w:before="240"/>
        <w:ind w:left="360"/>
        <w:rPr>
          <w:rFonts w:ascii="Times New Roman" w:hAnsi="Times New Roman"/>
          <w:sz w:val="28"/>
        </w:rPr>
      </w:pPr>
      <w:r>
        <w:rPr>
          <w:rFonts w:ascii="Times New Roman" w:hAnsi="Times New Roman"/>
          <w:sz w:val="28"/>
        </w:rPr>
        <w:t>Allocations for the purpose of recovering costs in a rate proceeding may be subject to a different methodology from that used for projections in a cost-benefit analysis.</w:t>
      </w:r>
    </w:p>
    <w:p w:rsidR="00D93DDD" w:rsidRPr="008C0D90" w:rsidRDefault="00D93DDD" w:rsidP="00D93DDD">
      <w:pPr>
        <w:spacing w:before="240"/>
        <w:ind w:left="360"/>
        <w:rPr>
          <w:rFonts w:ascii="Times New Roman" w:hAnsi="Times New Roman"/>
          <w:sz w:val="28"/>
        </w:rPr>
      </w:pPr>
      <w:r w:rsidRPr="00DD0AE8">
        <w:rPr>
          <w:rFonts w:ascii="Times New Roman" w:hAnsi="Times New Roman"/>
          <w:sz w:val="28"/>
        </w:rPr>
        <w:t xml:space="preserve">Potential non-regulated, third party, or incidental revenue from </w:t>
      </w:r>
      <w:r w:rsidR="00EB6A36">
        <w:rPr>
          <w:rFonts w:ascii="Times New Roman" w:hAnsi="Times New Roman"/>
          <w:sz w:val="28"/>
        </w:rPr>
        <w:t>smart grid</w:t>
      </w:r>
      <w:r w:rsidRPr="00DD0AE8">
        <w:rPr>
          <w:rFonts w:ascii="Times New Roman" w:hAnsi="Times New Roman"/>
          <w:sz w:val="28"/>
        </w:rPr>
        <w:t xml:space="preserve"> infrastructure investments should be reflected in the cost-benefit analysis. </w:t>
      </w:r>
    </w:p>
    <w:p w:rsidR="007E1617" w:rsidRPr="00DD0AE8" w:rsidRDefault="007E1617">
      <w:pPr>
        <w:spacing w:before="240"/>
        <w:rPr>
          <w:rFonts w:ascii="Times New Roman" w:hAnsi="Times New Roman"/>
          <w:b/>
          <w:sz w:val="28"/>
        </w:rPr>
      </w:pPr>
    </w:p>
    <w:p w:rsidR="007E1617" w:rsidRPr="000F2E7D" w:rsidRDefault="00371C4F" w:rsidP="000F2E7D">
      <w:pPr>
        <w:jc w:val="center"/>
        <w:rPr>
          <w:rFonts w:ascii="Times New Roman" w:hAnsi="Times New Roman"/>
          <w:sz w:val="24"/>
        </w:rPr>
      </w:pPr>
      <w:r>
        <w:rPr>
          <w:rFonts w:ascii="Times New Roman" w:hAnsi="Times New Roman"/>
          <w:b/>
          <w:sz w:val="40"/>
        </w:rPr>
        <w:br w:type="page"/>
      </w:r>
      <w:r w:rsidR="007E1617" w:rsidRPr="000F2E7D">
        <w:rPr>
          <w:rFonts w:ascii="Times New Roman" w:hAnsi="Times New Roman"/>
          <w:b/>
          <w:sz w:val="36"/>
        </w:rPr>
        <w:lastRenderedPageBreak/>
        <w:t>Quantification and Monetization of Costs and Benefits</w:t>
      </w:r>
    </w:p>
    <w:p w:rsidR="007E1617" w:rsidRPr="00DD0AE8" w:rsidRDefault="007E1617">
      <w:pPr>
        <w:spacing w:before="240"/>
        <w:rPr>
          <w:rFonts w:ascii="Times New Roman" w:hAnsi="Times New Roman"/>
          <w:b/>
          <w:sz w:val="28"/>
        </w:rPr>
      </w:pPr>
      <w:r w:rsidRPr="00DD0AE8">
        <w:rPr>
          <w:rFonts w:ascii="Times New Roman" w:hAnsi="Times New Roman"/>
          <w:sz w:val="28"/>
        </w:rPr>
        <w:t xml:space="preserve">This section identifies and contains Collaborative discussion and recommendations surrounding </w:t>
      </w:r>
      <w:r w:rsidR="00EB6A36">
        <w:rPr>
          <w:rFonts w:ascii="Times New Roman" w:hAnsi="Times New Roman"/>
          <w:sz w:val="28"/>
        </w:rPr>
        <w:t>smart grid</w:t>
      </w:r>
      <w:r w:rsidRPr="00DD0AE8">
        <w:rPr>
          <w:rFonts w:ascii="Times New Roman" w:hAnsi="Times New Roman"/>
          <w:sz w:val="28"/>
        </w:rPr>
        <w:t>-related costs and benefits that are difficult to quantify and/or monetize.  The following issues are included in this section:</w:t>
      </w:r>
    </w:p>
    <w:p w:rsidR="00D328EB" w:rsidRDefault="007E1617">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Monetization of Environmental Benefits</w:t>
      </w:r>
    </w:p>
    <w:p w:rsidR="00D328EB" w:rsidRDefault="007E1617">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Monetization of Reliability Benefits</w:t>
      </w:r>
    </w:p>
    <w:p w:rsidR="00D328EB" w:rsidRDefault="007E1617">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Treatment of Smart Grid Applications with Shared Infrastructure Investments</w:t>
      </w:r>
    </w:p>
    <w:p w:rsidR="00D328EB" w:rsidRDefault="000C7A34">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Monetization of</w:t>
      </w:r>
      <w:r w:rsidR="00540380" w:rsidRPr="00E67DF6">
        <w:rPr>
          <w:rFonts w:ascii="Times New Roman" w:eastAsia="+mn-ea" w:hAnsi="Times New Roman"/>
          <w:color w:val="000000"/>
          <w:sz w:val="28"/>
          <w:szCs w:val="28"/>
        </w:rPr>
        <w:t xml:space="preserve"> </w:t>
      </w:r>
      <w:r w:rsidRPr="00E67DF6">
        <w:rPr>
          <w:rFonts w:ascii="Times New Roman" w:eastAsia="+mn-ea" w:hAnsi="Times New Roman"/>
          <w:color w:val="000000"/>
          <w:sz w:val="28"/>
          <w:szCs w:val="28"/>
        </w:rPr>
        <w:t xml:space="preserve">Benefits Associated with Retail Generation Supply Prices </w:t>
      </w:r>
    </w:p>
    <w:p w:rsidR="007E1617" w:rsidRPr="00DD0AE8" w:rsidRDefault="007E1617">
      <w:pPr>
        <w:spacing w:before="240"/>
        <w:rPr>
          <w:rFonts w:ascii="Times New Roman" w:hAnsi="Times New Roman"/>
          <w:b/>
          <w:sz w:val="28"/>
        </w:rPr>
      </w:pPr>
      <w:r w:rsidRPr="00DD0AE8">
        <w:rPr>
          <w:rFonts w:ascii="Times New Roman" w:hAnsi="Times New Roman"/>
          <w:b/>
          <w:sz w:val="28"/>
        </w:rPr>
        <w:t>Monetization of Environmental Benefits</w:t>
      </w:r>
    </w:p>
    <w:p w:rsidR="007E1617" w:rsidRPr="00DD0AE8" w:rsidRDefault="0009576D" w:rsidP="00371C4F">
      <w:pPr>
        <w:spacing w:before="240"/>
        <w:rPr>
          <w:rFonts w:ascii="Times New Roman" w:hAnsi="Times New Roman"/>
          <w:sz w:val="28"/>
        </w:rPr>
      </w:pPr>
      <w:r>
        <w:rPr>
          <w:rFonts w:ascii="Times New Roman" w:hAnsi="Times New Roman"/>
          <w:sz w:val="28"/>
        </w:rPr>
        <w:t>If it is determined</w:t>
      </w:r>
      <w:r w:rsidR="007E1617" w:rsidRPr="00DD0AE8">
        <w:rPr>
          <w:rFonts w:ascii="Times New Roman" w:hAnsi="Times New Roman"/>
          <w:sz w:val="28"/>
        </w:rPr>
        <w:t xml:space="preserve"> </w:t>
      </w:r>
      <w:r>
        <w:rPr>
          <w:rFonts w:ascii="Times New Roman" w:hAnsi="Times New Roman"/>
          <w:sz w:val="28"/>
        </w:rPr>
        <w:t xml:space="preserve">that </w:t>
      </w:r>
      <w:r w:rsidR="007E1617" w:rsidRPr="00DD0AE8">
        <w:rPr>
          <w:rFonts w:ascii="Times New Roman" w:hAnsi="Times New Roman"/>
          <w:sz w:val="28"/>
        </w:rPr>
        <w:t xml:space="preserve">environmental benefits </w:t>
      </w:r>
      <w:r>
        <w:rPr>
          <w:rFonts w:ascii="Times New Roman" w:hAnsi="Times New Roman"/>
          <w:sz w:val="28"/>
        </w:rPr>
        <w:t xml:space="preserve">should be included </w:t>
      </w:r>
      <w:r w:rsidR="007E1617" w:rsidRPr="00DD0AE8">
        <w:rPr>
          <w:rFonts w:ascii="Times New Roman" w:hAnsi="Times New Roman"/>
          <w:sz w:val="28"/>
        </w:rPr>
        <w:t>in a cost-benefit analysis, the projected benefits</w:t>
      </w:r>
      <w:r>
        <w:rPr>
          <w:rFonts w:ascii="Times New Roman" w:hAnsi="Times New Roman"/>
          <w:sz w:val="28"/>
        </w:rPr>
        <w:t xml:space="preserve"> must be quantified</w:t>
      </w:r>
      <w:r w:rsidR="007E1617" w:rsidRPr="00DD0AE8">
        <w:rPr>
          <w:rFonts w:ascii="Times New Roman" w:hAnsi="Times New Roman"/>
          <w:sz w:val="28"/>
        </w:rPr>
        <w:t>.  In many cases, environmental benefits can be estimated based on the average cost of installing emission reduction technology.  For example, the estimated cost of building a flue gas desulfurization scrubber and the corresponding reduction in SO</w:t>
      </w:r>
      <w:r w:rsidR="007E1617" w:rsidRPr="00806E80">
        <w:rPr>
          <w:rFonts w:ascii="Times New Roman" w:hAnsi="Times New Roman"/>
          <w:sz w:val="28"/>
          <w:vertAlign w:val="subscript"/>
        </w:rPr>
        <w:t>2</w:t>
      </w:r>
      <w:r w:rsidR="007E1617" w:rsidRPr="00DD0AE8">
        <w:rPr>
          <w:rFonts w:ascii="Times New Roman" w:hAnsi="Times New Roman"/>
          <w:sz w:val="28"/>
        </w:rPr>
        <w:t xml:space="preserve"> expected can be estimated with a high degree of certainty.  In other cases, there are market instruments from which the benefits can be readily calculated (</w:t>
      </w:r>
      <w:r>
        <w:rPr>
          <w:rFonts w:ascii="Times New Roman" w:hAnsi="Times New Roman"/>
          <w:sz w:val="28"/>
        </w:rPr>
        <w:t xml:space="preserve">e.g., </w:t>
      </w:r>
      <w:r w:rsidR="007E1617" w:rsidRPr="00DD0AE8">
        <w:rPr>
          <w:rFonts w:ascii="Times New Roman" w:hAnsi="Times New Roman"/>
          <w:sz w:val="28"/>
        </w:rPr>
        <w:t xml:space="preserve">spot and future values of allowances that trade hands in market exchanges).  Often, if entities have a choice of </w:t>
      </w:r>
      <w:r w:rsidR="009D6106">
        <w:rPr>
          <w:rFonts w:ascii="Times New Roman" w:hAnsi="Times New Roman"/>
          <w:sz w:val="28"/>
        </w:rPr>
        <w:t xml:space="preserve">environmental </w:t>
      </w:r>
      <w:r w:rsidR="007E1617" w:rsidRPr="00DD0AE8">
        <w:rPr>
          <w:rFonts w:ascii="Times New Roman" w:hAnsi="Times New Roman"/>
          <w:sz w:val="28"/>
        </w:rPr>
        <w:t>compliance alternatives (e.g., in the case of SO</w:t>
      </w:r>
      <w:r w:rsidR="007E1617" w:rsidRPr="00806E80">
        <w:rPr>
          <w:rFonts w:ascii="Times New Roman" w:hAnsi="Times New Roman"/>
          <w:sz w:val="28"/>
          <w:vertAlign w:val="subscript"/>
        </w:rPr>
        <w:t>2</w:t>
      </w:r>
      <w:r w:rsidR="007E1617" w:rsidRPr="00B63B9E">
        <w:rPr>
          <w:rFonts w:ascii="Times New Roman" w:hAnsi="Times New Roman"/>
          <w:sz w:val="28"/>
        </w:rPr>
        <w:t xml:space="preserve"> </w:t>
      </w:r>
      <w:r w:rsidR="007E1617" w:rsidRPr="00DD0AE8">
        <w:rPr>
          <w:rFonts w:ascii="Times New Roman" w:hAnsi="Times New Roman"/>
          <w:sz w:val="28"/>
        </w:rPr>
        <w:t>there are allowances that can be purchased or a generator can switch fuels or install a scrubber), they will choose the long run least-cost alternative.  Since spending capital to install technology is an alternative, this cost often represents a ceiling for price projections o</w:t>
      </w:r>
      <w:r>
        <w:rPr>
          <w:rFonts w:ascii="Times New Roman" w:hAnsi="Times New Roman"/>
          <w:sz w:val="28"/>
        </w:rPr>
        <w:t xml:space="preserve">f associated market instruments or </w:t>
      </w:r>
      <w:r w:rsidR="007E1617" w:rsidRPr="00DD0AE8">
        <w:rPr>
          <w:rFonts w:ascii="Times New Roman" w:hAnsi="Times New Roman"/>
          <w:sz w:val="28"/>
        </w:rPr>
        <w:t xml:space="preserve">allowances. </w:t>
      </w:r>
    </w:p>
    <w:p w:rsidR="007E1617" w:rsidRPr="00DD0AE8" w:rsidRDefault="007E1617" w:rsidP="00371C4F">
      <w:pPr>
        <w:spacing w:before="240"/>
        <w:rPr>
          <w:rFonts w:ascii="Times New Roman" w:hAnsi="Times New Roman"/>
          <w:sz w:val="28"/>
        </w:rPr>
      </w:pPr>
      <w:r w:rsidRPr="00DD0AE8">
        <w:rPr>
          <w:rFonts w:ascii="Times New Roman" w:hAnsi="Times New Roman"/>
          <w:sz w:val="28"/>
        </w:rPr>
        <w:t xml:space="preserve">Currently, </w:t>
      </w:r>
      <w:r w:rsidR="009D6106">
        <w:rPr>
          <w:rFonts w:ascii="Times New Roman" w:hAnsi="Times New Roman"/>
          <w:sz w:val="28"/>
        </w:rPr>
        <w:t xml:space="preserve">valuing </w:t>
      </w:r>
      <w:r w:rsidRPr="00DD0AE8">
        <w:rPr>
          <w:rFonts w:ascii="Times New Roman" w:hAnsi="Times New Roman"/>
          <w:sz w:val="28"/>
        </w:rPr>
        <w:t>CO</w:t>
      </w:r>
      <w:r w:rsidRPr="00806E80">
        <w:rPr>
          <w:rFonts w:ascii="Times New Roman" w:hAnsi="Times New Roman"/>
          <w:sz w:val="28"/>
          <w:vertAlign w:val="subscript"/>
        </w:rPr>
        <w:t>2</w:t>
      </w:r>
      <w:r w:rsidRPr="00DD0AE8">
        <w:rPr>
          <w:rFonts w:ascii="Times New Roman" w:hAnsi="Times New Roman"/>
          <w:sz w:val="28"/>
        </w:rPr>
        <w:t xml:space="preserve"> is problematic with respect to the methodologies above.  The market for instruments cannot fully </w:t>
      </w:r>
      <w:r w:rsidR="006D04C1" w:rsidRPr="00DD0AE8">
        <w:rPr>
          <w:rFonts w:ascii="Times New Roman" w:hAnsi="Times New Roman"/>
          <w:sz w:val="28"/>
        </w:rPr>
        <w:t>develop</w:t>
      </w:r>
      <w:r w:rsidR="006D04C1">
        <w:rPr>
          <w:rFonts w:ascii="Times New Roman" w:hAnsi="Times New Roman"/>
          <w:sz w:val="28"/>
        </w:rPr>
        <w:t xml:space="preserve"> unless and </w:t>
      </w:r>
      <w:r w:rsidRPr="00DD0AE8">
        <w:rPr>
          <w:rFonts w:ascii="Times New Roman" w:hAnsi="Times New Roman"/>
          <w:sz w:val="28"/>
        </w:rPr>
        <w:t>until carbon constraint legislation is passed (acceptable emission levels and rules for compliance are not in place yet), nor are there commercially available technological solutions from which carbon reduction costs can be determined.</w:t>
      </w:r>
    </w:p>
    <w:p w:rsidR="007E1617" w:rsidRPr="00DD0AE8" w:rsidRDefault="007E1617" w:rsidP="00371C4F">
      <w:pPr>
        <w:spacing w:before="240"/>
        <w:rPr>
          <w:rFonts w:ascii="Times New Roman" w:hAnsi="Times New Roman"/>
          <w:sz w:val="28"/>
        </w:rPr>
      </w:pPr>
      <w:r w:rsidRPr="00DD0AE8">
        <w:rPr>
          <w:rFonts w:ascii="Times New Roman" w:hAnsi="Times New Roman"/>
          <w:sz w:val="28"/>
        </w:rPr>
        <w:t xml:space="preserve">In </w:t>
      </w:r>
      <w:r w:rsidR="00371C4F">
        <w:rPr>
          <w:rFonts w:ascii="Times New Roman" w:hAnsi="Times New Roman"/>
          <w:sz w:val="28"/>
        </w:rPr>
        <w:t>Collaborative</w:t>
      </w:r>
      <w:r w:rsidRPr="00DD0AE8">
        <w:rPr>
          <w:rFonts w:ascii="Times New Roman" w:hAnsi="Times New Roman"/>
          <w:sz w:val="28"/>
        </w:rPr>
        <w:t xml:space="preserve"> discussions, some distinction was drawn between “harder” environmental benefits associated with some </w:t>
      </w:r>
      <w:r w:rsidR="00EB6A36">
        <w:rPr>
          <w:rFonts w:ascii="Times New Roman" w:hAnsi="Times New Roman"/>
          <w:sz w:val="28"/>
        </w:rPr>
        <w:t>smart grid</w:t>
      </w:r>
      <w:r w:rsidRPr="00DD0AE8">
        <w:rPr>
          <w:rFonts w:ascii="Times New Roman" w:hAnsi="Times New Roman"/>
          <w:sz w:val="28"/>
        </w:rPr>
        <w:t xml:space="preserve"> applications (e.g., reducing </w:t>
      </w:r>
      <w:r w:rsidRPr="00DD0AE8">
        <w:rPr>
          <w:rFonts w:ascii="Times New Roman" w:hAnsi="Times New Roman"/>
          <w:sz w:val="28"/>
        </w:rPr>
        <w:lastRenderedPageBreak/>
        <w:t xml:space="preserve">the number of combustion vehicles on the road as a result of PHEVs) and those that are </w:t>
      </w:r>
      <w:r w:rsidR="009D6106">
        <w:rPr>
          <w:rFonts w:ascii="Times New Roman" w:hAnsi="Times New Roman"/>
          <w:sz w:val="28"/>
        </w:rPr>
        <w:t>“</w:t>
      </w:r>
      <w:r w:rsidRPr="00DD0AE8">
        <w:rPr>
          <w:rFonts w:ascii="Times New Roman" w:hAnsi="Times New Roman"/>
          <w:sz w:val="28"/>
        </w:rPr>
        <w:t>softer</w:t>
      </w:r>
      <w:r w:rsidR="009D6106">
        <w:rPr>
          <w:rFonts w:ascii="Times New Roman" w:hAnsi="Times New Roman"/>
          <w:sz w:val="28"/>
        </w:rPr>
        <w:t>”</w:t>
      </w:r>
      <w:r w:rsidRPr="00DD0AE8">
        <w:rPr>
          <w:rFonts w:ascii="Times New Roman" w:hAnsi="Times New Roman"/>
          <w:sz w:val="28"/>
        </w:rPr>
        <w:t xml:space="preserve"> (e.g., reduced emissions from power plants as a result of a shift in the load curve, and different generation dispatch, as a result of demand-response applications).</w:t>
      </w:r>
    </w:p>
    <w:p w:rsidR="007E1617" w:rsidRPr="00371C4F" w:rsidRDefault="007E1617" w:rsidP="00371C4F">
      <w:pPr>
        <w:spacing w:before="240"/>
        <w:ind w:left="360"/>
        <w:rPr>
          <w:rFonts w:ascii="Times New Roman" w:hAnsi="Times New Roman"/>
          <w:b/>
          <w:i/>
          <w:sz w:val="28"/>
        </w:rPr>
      </w:pPr>
      <w:r w:rsidRPr="00371C4F">
        <w:rPr>
          <w:rFonts w:ascii="Times New Roman" w:hAnsi="Times New Roman"/>
          <w:b/>
          <w:i/>
          <w:sz w:val="28"/>
        </w:rPr>
        <w:t>Recommendations</w:t>
      </w:r>
    </w:p>
    <w:p w:rsidR="007E1617" w:rsidRPr="00DD0AE8" w:rsidRDefault="00371C4F" w:rsidP="00371C4F">
      <w:pPr>
        <w:spacing w:before="240"/>
        <w:ind w:left="360"/>
        <w:rPr>
          <w:rFonts w:ascii="Times New Roman" w:hAnsi="Times New Roman"/>
          <w:sz w:val="28"/>
        </w:rPr>
      </w:pPr>
      <w:r>
        <w:rPr>
          <w:rFonts w:ascii="Times New Roman" w:hAnsi="Times New Roman"/>
          <w:sz w:val="28"/>
        </w:rPr>
        <w:t>T</w:t>
      </w:r>
      <w:r w:rsidR="007E1617" w:rsidRPr="00DD0AE8">
        <w:rPr>
          <w:rFonts w:ascii="Times New Roman" w:hAnsi="Times New Roman"/>
          <w:sz w:val="28"/>
        </w:rPr>
        <w:t xml:space="preserve">o the extent that they can be reasonably quantified (and that they can be attributed to the </w:t>
      </w:r>
      <w:r w:rsidR="00EB6A36">
        <w:rPr>
          <w:rFonts w:ascii="Times New Roman" w:hAnsi="Times New Roman"/>
          <w:sz w:val="28"/>
        </w:rPr>
        <w:t>smart grid</w:t>
      </w:r>
      <w:r w:rsidR="007E1617" w:rsidRPr="00DD0AE8">
        <w:rPr>
          <w:rFonts w:ascii="Times New Roman" w:hAnsi="Times New Roman"/>
          <w:sz w:val="28"/>
        </w:rPr>
        <w:t xml:space="preserve"> investment), environmental benefits should be quantified and monetized in the cost-benefit framework in the appropriate societal views/perspectives. </w:t>
      </w:r>
    </w:p>
    <w:p w:rsidR="007E1617" w:rsidRPr="00DD0AE8" w:rsidRDefault="00371C4F" w:rsidP="00371C4F">
      <w:pPr>
        <w:spacing w:before="240"/>
        <w:ind w:left="360"/>
        <w:rPr>
          <w:rFonts w:ascii="Times New Roman" w:hAnsi="Times New Roman"/>
          <w:sz w:val="28"/>
        </w:rPr>
      </w:pPr>
      <w:r>
        <w:rPr>
          <w:rFonts w:ascii="Times New Roman" w:hAnsi="Times New Roman"/>
          <w:sz w:val="28"/>
        </w:rPr>
        <w:t>A</w:t>
      </w:r>
      <w:r w:rsidR="007E1617" w:rsidRPr="00DD0AE8">
        <w:rPr>
          <w:rFonts w:ascii="Times New Roman" w:hAnsi="Times New Roman"/>
          <w:sz w:val="28"/>
        </w:rPr>
        <w:t>ny assumptions regarding environmental benefits incorporated in the analysis (e.g., emissions reduced, values of emissions/allowances) should be clearly stated and supported.</w:t>
      </w:r>
    </w:p>
    <w:p w:rsidR="007E1617" w:rsidRPr="00DD0AE8" w:rsidRDefault="007E1617">
      <w:pPr>
        <w:spacing w:before="240"/>
        <w:rPr>
          <w:rFonts w:ascii="Times New Roman" w:hAnsi="Times New Roman"/>
          <w:b/>
          <w:sz w:val="28"/>
        </w:rPr>
      </w:pPr>
      <w:r w:rsidRPr="00DD0AE8">
        <w:rPr>
          <w:rFonts w:ascii="Times New Roman" w:hAnsi="Times New Roman"/>
          <w:b/>
          <w:sz w:val="28"/>
        </w:rPr>
        <w:t>Monetization of Reliability Benefits</w:t>
      </w:r>
    </w:p>
    <w:p w:rsidR="007E1617" w:rsidRPr="00DD0AE8" w:rsidRDefault="007E1617" w:rsidP="00371C4F">
      <w:pPr>
        <w:spacing w:before="240"/>
        <w:rPr>
          <w:rFonts w:ascii="Times New Roman" w:hAnsi="Times New Roman"/>
          <w:sz w:val="28"/>
        </w:rPr>
      </w:pPr>
      <w:r w:rsidRPr="00DD0AE8">
        <w:rPr>
          <w:rFonts w:ascii="Times New Roman" w:hAnsi="Times New Roman"/>
          <w:sz w:val="28"/>
        </w:rPr>
        <w:t xml:space="preserve">The overriding issue in the monetization of reliability benefits is in determining the appropriate value of </w:t>
      </w:r>
      <w:r w:rsidR="00F435CE" w:rsidRPr="00DD0AE8">
        <w:rPr>
          <w:rFonts w:ascii="Times New Roman" w:hAnsi="Times New Roman"/>
          <w:sz w:val="28"/>
        </w:rPr>
        <w:t xml:space="preserve">reducing the frequency, </w:t>
      </w:r>
      <w:r w:rsidR="0009576D">
        <w:rPr>
          <w:rFonts w:ascii="Times New Roman" w:hAnsi="Times New Roman"/>
          <w:sz w:val="28"/>
        </w:rPr>
        <w:t xml:space="preserve">duration, or scope of outages.  </w:t>
      </w:r>
      <w:r w:rsidRPr="00DD0AE8">
        <w:rPr>
          <w:rFonts w:ascii="Times New Roman" w:hAnsi="Times New Roman"/>
          <w:sz w:val="28"/>
        </w:rPr>
        <w:t xml:space="preserve">Currently, the state of the art in reliability monetization (essentially, the </w:t>
      </w:r>
      <w:r w:rsidR="00991A58">
        <w:rPr>
          <w:rFonts w:ascii="Times New Roman" w:hAnsi="Times New Roman"/>
          <w:sz w:val="28"/>
        </w:rPr>
        <w:t>cost of an outage</w:t>
      </w:r>
      <w:r w:rsidRPr="00DD0AE8">
        <w:rPr>
          <w:rFonts w:ascii="Times New Roman" w:hAnsi="Times New Roman"/>
          <w:sz w:val="28"/>
        </w:rPr>
        <w:t xml:space="preserve">) is based on customer surveys and their perception of the </w:t>
      </w:r>
      <w:r w:rsidR="00085C32">
        <w:rPr>
          <w:rFonts w:ascii="Times New Roman" w:hAnsi="Times New Roman"/>
          <w:sz w:val="28"/>
        </w:rPr>
        <w:t>cost</w:t>
      </w:r>
      <w:r w:rsidRPr="00DD0AE8">
        <w:rPr>
          <w:rFonts w:ascii="Times New Roman" w:hAnsi="Times New Roman"/>
          <w:sz w:val="28"/>
        </w:rPr>
        <w:t xml:space="preserve"> of outages of various duration.  </w:t>
      </w:r>
      <w:r w:rsidR="0009576D">
        <w:rPr>
          <w:rFonts w:ascii="Times New Roman" w:hAnsi="Times New Roman"/>
          <w:sz w:val="28"/>
        </w:rPr>
        <w:t>For example, i</w:t>
      </w:r>
      <w:r w:rsidRPr="00DD0AE8">
        <w:rPr>
          <w:rFonts w:ascii="Times New Roman" w:hAnsi="Times New Roman"/>
          <w:sz w:val="28"/>
        </w:rPr>
        <w:t xml:space="preserve">n EPRI’s </w:t>
      </w:r>
      <w:r w:rsidRPr="00DD0AE8">
        <w:rPr>
          <w:rFonts w:ascii="Times New Roman" w:hAnsi="Times New Roman"/>
          <w:i/>
          <w:sz w:val="28"/>
        </w:rPr>
        <w:t>Methodological Approach for Estimating the Benefits and Costs of Smart Grid Demonstration Projects</w:t>
      </w:r>
      <w:r w:rsidRPr="00DD0AE8">
        <w:rPr>
          <w:rFonts w:ascii="Times New Roman" w:hAnsi="Times New Roman"/>
          <w:sz w:val="28"/>
        </w:rPr>
        <w:t>, the values from 28 customer studies from ten differen</w:t>
      </w:r>
      <w:r w:rsidR="0009576D">
        <w:rPr>
          <w:rFonts w:ascii="Times New Roman" w:hAnsi="Times New Roman"/>
          <w:sz w:val="28"/>
        </w:rPr>
        <w:t xml:space="preserve">t utilities were consolidated. </w:t>
      </w:r>
    </w:p>
    <w:p w:rsidR="00D328EB" w:rsidRDefault="007E1617">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Typically, outage costs are not linear.  There is a “fixed” component of any outage (which may be low or high, depending on the customer) and a “variable” component that also impacts the overall cost to the customer.  The </w:t>
      </w:r>
      <w:r w:rsidR="00085C32" w:rsidRPr="00E67DF6">
        <w:rPr>
          <w:rFonts w:ascii="Times New Roman" w:eastAsia="+mn-ea" w:hAnsi="Times New Roman"/>
          <w:color w:val="000000"/>
          <w:sz w:val="28"/>
          <w:szCs w:val="28"/>
        </w:rPr>
        <w:t>cost</w:t>
      </w:r>
      <w:r w:rsidRPr="00E67DF6">
        <w:rPr>
          <w:rFonts w:ascii="Times New Roman" w:eastAsia="+mn-ea" w:hAnsi="Times New Roman"/>
          <w:color w:val="000000"/>
          <w:sz w:val="28"/>
          <w:szCs w:val="28"/>
        </w:rPr>
        <w:t xml:space="preserve"> of an outage – and the relative </w:t>
      </w:r>
      <w:r w:rsidR="00085C32" w:rsidRPr="00E67DF6">
        <w:rPr>
          <w:rFonts w:ascii="Times New Roman" w:eastAsia="+mn-ea" w:hAnsi="Times New Roman"/>
          <w:color w:val="000000"/>
          <w:sz w:val="28"/>
          <w:szCs w:val="28"/>
        </w:rPr>
        <w:t>cost</w:t>
      </w:r>
      <w:r w:rsidRPr="00E67DF6">
        <w:rPr>
          <w:rFonts w:ascii="Times New Roman" w:eastAsia="+mn-ea" w:hAnsi="Times New Roman"/>
          <w:color w:val="000000"/>
          <w:sz w:val="28"/>
          <w:szCs w:val="28"/>
        </w:rPr>
        <w:t xml:space="preserve"> of a short or long outage – will vary considerably based on the nature of the customer’s acti</w:t>
      </w:r>
      <w:r w:rsidR="00806E80">
        <w:rPr>
          <w:rFonts w:ascii="Times New Roman" w:eastAsia="+mn-ea" w:hAnsi="Times New Roman"/>
          <w:color w:val="000000"/>
          <w:sz w:val="28"/>
          <w:szCs w:val="28"/>
        </w:rPr>
        <w:t xml:space="preserve">vity or </w:t>
      </w:r>
      <w:r w:rsidRPr="00E67DF6">
        <w:rPr>
          <w:rFonts w:ascii="Times New Roman" w:eastAsia="+mn-ea" w:hAnsi="Times New Roman"/>
          <w:color w:val="000000"/>
          <w:sz w:val="28"/>
          <w:szCs w:val="28"/>
        </w:rPr>
        <w:t>business.</w:t>
      </w:r>
    </w:p>
    <w:p w:rsidR="00D328EB" w:rsidRDefault="007E1617">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As with any survey, variability in results will occur based on the quality of the underlying survey instrument(s) and the understanding/sophistication of the survey-taker.  This adds uncertainty with respect to the benefits that might actually result.</w:t>
      </w:r>
    </w:p>
    <w:p w:rsidR="007E1617" w:rsidRPr="00DD0AE8" w:rsidRDefault="007E1617" w:rsidP="00371C4F">
      <w:pPr>
        <w:spacing w:before="240"/>
        <w:rPr>
          <w:rFonts w:ascii="Times New Roman" w:hAnsi="Times New Roman"/>
          <w:sz w:val="28"/>
        </w:rPr>
      </w:pPr>
      <w:r w:rsidRPr="00DD0AE8">
        <w:rPr>
          <w:rFonts w:ascii="Times New Roman" w:hAnsi="Times New Roman"/>
          <w:sz w:val="28"/>
        </w:rPr>
        <w:lastRenderedPageBreak/>
        <w:t xml:space="preserve">Another issue </w:t>
      </w:r>
      <w:r w:rsidR="00D05DFD">
        <w:rPr>
          <w:rFonts w:ascii="Times New Roman" w:hAnsi="Times New Roman"/>
          <w:sz w:val="28"/>
        </w:rPr>
        <w:t xml:space="preserve">in monetizing reliability benefits </w:t>
      </w:r>
      <w:r w:rsidRPr="00DD0AE8">
        <w:rPr>
          <w:rFonts w:ascii="Times New Roman" w:hAnsi="Times New Roman"/>
          <w:sz w:val="28"/>
        </w:rPr>
        <w:t xml:space="preserve">is ensuring that the improvement in reliability associated with the </w:t>
      </w:r>
      <w:r w:rsidR="00EB6A36">
        <w:rPr>
          <w:rFonts w:ascii="Times New Roman" w:hAnsi="Times New Roman"/>
          <w:sz w:val="28"/>
        </w:rPr>
        <w:t>smart grid</w:t>
      </w:r>
      <w:r w:rsidRPr="00DD0AE8">
        <w:rPr>
          <w:rFonts w:ascii="Times New Roman" w:hAnsi="Times New Roman"/>
          <w:sz w:val="28"/>
        </w:rPr>
        <w:t xml:space="preserve"> investment is an improvement that would not have occurred otherwise.  In other words, business as usual should not </w:t>
      </w:r>
      <w:r w:rsidR="00DD0830" w:rsidRPr="00DD0AE8">
        <w:rPr>
          <w:rFonts w:ascii="Times New Roman" w:hAnsi="Times New Roman"/>
          <w:sz w:val="28"/>
        </w:rPr>
        <w:t xml:space="preserve">assume that there would be </w:t>
      </w:r>
      <w:r w:rsidRPr="00DD0AE8">
        <w:rPr>
          <w:rFonts w:ascii="Times New Roman" w:hAnsi="Times New Roman"/>
          <w:sz w:val="28"/>
        </w:rPr>
        <w:t xml:space="preserve">a degradation in reliability and may actually mean improvement, as older system assets are replaced with newer (but not smart) equipment. </w:t>
      </w:r>
    </w:p>
    <w:p w:rsidR="007E1617" w:rsidRPr="00371C4F" w:rsidRDefault="007E1617" w:rsidP="00371C4F">
      <w:pPr>
        <w:spacing w:before="240"/>
        <w:ind w:left="360"/>
        <w:rPr>
          <w:rFonts w:ascii="Times New Roman" w:hAnsi="Times New Roman"/>
          <w:b/>
          <w:i/>
          <w:sz w:val="28"/>
        </w:rPr>
      </w:pPr>
      <w:r w:rsidRPr="00371C4F">
        <w:rPr>
          <w:rFonts w:ascii="Times New Roman" w:hAnsi="Times New Roman"/>
          <w:b/>
          <w:i/>
          <w:sz w:val="28"/>
        </w:rPr>
        <w:t>Recommendations</w:t>
      </w:r>
    </w:p>
    <w:p w:rsidR="007E1617" w:rsidRPr="00DD0AE8" w:rsidRDefault="007E1617" w:rsidP="00371C4F">
      <w:pPr>
        <w:spacing w:before="240"/>
        <w:ind w:left="360"/>
        <w:rPr>
          <w:rFonts w:ascii="Times New Roman" w:hAnsi="Times New Roman"/>
          <w:sz w:val="28"/>
        </w:rPr>
      </w:pPr>
      <w:r w:rsidRPr="00DD0AE8">
        <w:rPr>
          <w:rFonts w:ascii="Times New Roman" w:hAnsi="Times New Roman"/>
          <w:sz w:val="28"/>
        </w:rPr>
        <w:t xml:space="preserve">Reliability benefits should be quantified and monetized in the cost-benefit framework in all of the appropriate </w:t>
      </w:r>
      <w:r w:rsidR="00D05DFD">
        <w:rPr>
          <w:rFonts w:ascii="Times New Roman" w:hAnsi="Times New Roman"/>
          <w:sz w:val="28"/>
        </w:rPr>
        <w:t>tests</w:t>
      </w:r>
      <w:r w:rsidRPr="00DD0AE8">
        <w:rPr>
          <w:rFonts w:ascii="Times New Roman" w:hAnsi="Times New Roman"/>
          <w:sz w:val="28"/>
        </w:rPr>
        <w:t xml:space="preserve">, although the values could potentially be different for different </w:t>
      </w:r>
      <w:r w:rsidR="00D05DFD">
        <w:rPr>
          <w:rFonts w:ascii="Times New Roman" w:hAnsi="Times New Roman"/>
          <w:sz w:val="28"/>
        </w:rPr>
        <w:t>tests</w:t>
      </w:r>
      <w:r w:rsidRPr="00DD0AE8">
        <w:rPr>
          <w:rFonts w:ascii="Times New Roman" w:hAnsi="Times New Roman"/>
          <w:sz w:val="28"/>
        </w:rPr>
        <w:t xml:space="preserve">. </w:t>
      </w:r>
    </w:p>
    <w:p w:rsidR="007E1617" w:rsidRPr="00DD0AE8" w:rsidRDefault="00A82FAF" w:rsidP="00371C4F">
      <w:pPr>
        <w:spacing w:before="240"/>
        <w:ind w:left="360"/>
        <w:rPr>
          <w:rFonts w:ascii="Times New Roman" w:hAnsi="Times New Roman"/>
          <w:sz w:val="28"/>
        </w:rPr>
      </w:pPr>
      <w:r w:rsidRPr="00DD0AE8">
        <w:rPr>
          <w:rFonts w:ascii="Times New Roman" w:hAnsi="Times New Roman"/>
          <w:sz w:val="28"/>
        </w:rPr>
        <w:t>A reasonable effort should be made to estimate r</w:t>
      </w:r>
      <w:r w:rsidR="007E1617" w:rsidRPr="00DD0AE8">
        <w:rPr>
          <w:rFonts w:ascii="Times New Roman" w:hAnsi="Times New Roman"/>
          <w:sz w:val="28"/>
        </w:rPr>
        <w:t xml:space="preserve">eliability benefits separately for various groups of customers, since the </w:t>
      </w:r>
      <w:r w:rsidR="00085C32">
        <w:rPr>
          <w:rFonts w:ascii="Times New Roman" w:hAnsi="Times New Roman"/>
          <w:sz w:val="28"/>
        </w:rPr>
        <w:t>cost</w:t>
      </w:r>
      <w:r w:rsidR="007E1617" w:rsidRPr="00DD0AE8">
        <w:rPr>
          <w:rFonts w:ascii="Times New Roman" w:hAnsi="Times New Roman"/>
          <w:sz w:val="28"/>
        </w:rPr>
        <w:t xml:space="preserve"> of an outage could vary significantly based on the type of customer (and even for different customers within the same group).  Note that the Collaborative is referring to perhaps three or four customer groups, and is not referring to the multiple rate classifications represented by the utilities’ rate tariffs.</w:t>
      </w:r>
    </w:p>
    <w:p w:rsidR="00D328EB" w:rsidRDefault="007E1617">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Cost should be estimated for a minimal outage for t</w:t>
      </w:r>
      <w:r w:rsidR="00D05DFD">
        <w:rPr>
          <w:rFonts w:ascii="Times New Roman" w:eastAsia="+mn-ea" w:hAnsi="Times New Roman"/>
          <w:color w:val="000000"/>
          <w:sz w:val="28"/>
          <w:szCs w:val="28"/>
        </w:rPr>
        <w:t>he respective customer groups.  T</w:t>
      </w:r>
      <w:r w:rsidRPr="00E67DF6">
        <w:rPr>
          <w:rFonts w:ascii="Times New Roman" w:eastAsia="+mn-ea" w:hAnsi="Times New Roman"/>
          <w:color w:val="000000"/>
          <w:sz w:val="28"/>
          <w:szCs w:val="28"/>
        </w:rPr>
        <w:t>he incremental cost of an extended outage should also be estimated in order to provide an indication of the impact of short and long outages on the respective customer groups.</w:t>
      </w:r>
    </w:p>
    <w:p w:rsidR="00D328EB" w:rsidRDefault="007E1617">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Reasonable effort should be made to e</w:t>
      </w:r>
      <w:r w:rsidR="00085C32" w:rsidRPr="00E67DF6">
        <w:rPr>
          <w:rFonts w:ascii="Times New Roman" w:eastAsia="+mn-ea" w:hAnsi="Times New Roman"/>
          <w:color w:val="000000"/>
          <w:sz w:val="28"/>
          <w:szCs w:val="28"/>
        </w:rPr>
        <w:t>stimate the permanent economic cost</w:t>
      </w:r>
      <w:r w:rsidRPr="00E67DF6">
        <w:rPr>
          <w:rFonts w:ascii="Times New Roman" w:eastAsia="+mn-ea" w:hAnsi="Times New Roman"/>
          <w:color w:val="000000"/>
          <w:sz w:val="28"/>
          <w:szCs w:val="28"/>
        </w:rPr>
        <w:t xml:space="preserve"> of an outage to various customer groups</w:t>
      </w:r>
      <w:r w:rsidR="00D05DFD">
        <w:rPr>
          <w:rFonts w:ascii="Times New Roman" w:eastAsia="+mn-ea" w:hAnsi="Times New Roman"/>
          <w:color w:val="000000"/>
          <w:sz w:val="28"/>
          <w:szCs w:val="28"/>
        </w:rPr>
        <w:t>, including the following</w:t>
      </w:r>
      <w:r w:rsidRPr="00E67DF6">
        <w:rPr>
          <w:rFonts w:ascii="Times New Roman" w:eastAsia="+mn-ea" w:hAnsi="Times New Roman"/>
          <w:color w:val="000000"/>
          <w:sz w:val="28"/>
          <w:szCs w:val="28"/>
        </w:rPr>
        <w:t>:</w:t>
      </w:r>
    </w:p>
    <w:p w:rsidR="00D328EB" w:rsidRDefault="007E1617">
      <w:pPr>
        <w:numPr>
          <w:ilvl w:val="2"/>
          <w:numId w:val="3"/>
        </w:numPr>
        <w:tabs>
          <w:tab w:val="left" w:pos="1440"/>
        </w:tabs>
        <w:spacing w:before="240"/>
        <w:ind w:left="1800" w:hanging="450"/>
        <w:rPr>
          <w:rFonts w:ascii="Times New Roman" w:hAnsi="Times New Roman"/>
          <w:sz w:val="28"/>
        </w:rPr>
      </w:pPr>
      <w:r w:rsidRPr="00DD0AE8">
        <w:rPr>
          <w:rFonts w:ascii="Times New Roman" w:hAnsi="Times New Roman"/>
          <w:sz w:val="28"/>
        </w:rPr>
        <w:t>In cost terms for residential customers, who may sustain little or no economic impact from brief outages, but substantial damage from lengthy outages.</w:t>
      </w:r>
    </w:p>
    <w:p w:rsidR="00D328EB" w:rsidRDefault="007E1617">
      <w:pPr>
        <w:numPr>
          <w:ilvl w:val="2"/>
          <w:numId w:val="3"/>
        </w:numPr>
        <w:tabs>
          <w:tab w:val="left" w:pos="1440"/>
        </w:tabs>
        <w:spacing w:before="240"/>
        <w:ind w:left="1800" w:hanging="450"/>
        <w:rPr>
          <w:rFonts w:ascii="Times New Roman" w:hAnsi="Times New Roman"/>
          <w:sz w:val="28"/>
        </w:rPr>
      </w:pPr>
      <w:r w:rsidRPr="00DD0AE8">
        <w:rPr>
          <w:rFonts w:ascii="Times New Roman" w:hAnsi="Times New Roman"/>
          <w:sz w:val="28"/>
        </w:rPr>
        <w:t>In profitability terms for business customers (i.e., the impact on a customer’s profit as opposed to in general revenue terms).</w:t>
      </w:r>
    </w:p>
    <w:p w:rsidR="00D328EB" w:rsidRDefault="00D05DFD">
      <w:pPr>
        <w:pStyle w:val="ListParagraph"/>
        <w:numPr>
          <w:ilvl w:val="1"/>
          <w:numId w:val="1"/>
        </w:numPr>
        <w:tabs>
          <w:tab w:val="clear" w:pos="1440"/>
          <w:tab w:val="num" w:pos="990"/>
        </w:tabs>
        <w:kinsoku w:val="0"/>
        <w:overflowPunct w:val="0"/>
        <w:spacing w:after="0"/>
        <w:ind w:left="990" w:hanging="450"/>
        <w:textAlignment w:val="baseline"/>
        <w:rPr>
          <w:rFonts w:ascii="Times New Roman" w:eastAsia="+mn-ea" w:hAnsi="Times New Roman"/>
          <w:color w:val="000000"/>
          <w:sz w:val="28"/>
          <w:szCs w:val="28"/>
        </w:rPr>
      </w:pPr>
      <w:r>
        <w:rPr>
          <w:rFonts w:ascii="Times New Roman" w:eastAsia="+mn-ea" w:hAnsi="Times New Roman"/>
          <w:color w:val="000000"/>
          <w:sz w:val="28"/>
          <w:szCs w:val="28"/>
        </w:rPr>
        <w:t xml:space="preserve">Because </w:t>
      </w:r>
      <w:r w:rsidR="00A82FAF" w:rsidRPr="00E67DF6">
        <w:rPr>
          <w:rFonts w:ascii="Times New Roman" w:eastAsia="+mn-ea" w:hAnsi="Times New Roman"/>
          <w:color w:val="000000"/>
          <w:sz w:val="28"/>
          <w:szCs w:val="28"/>
        </w:rPr>
        <w:t xml:space="preserve">most reliability investments affect a combination of different types of customers associated with particular circuits, substations, or </w:t>
      </w:r>
      <w:r w:rsidR="00A82FAF" w:rsidRPr="00E67DF6">
        <w:rPr>
          <w:rFonts w:ascii="Times New Roman" w:eastAsia="+mn-ea" w:hAnsi="Times New Roman"/>
          <w:color w:val="000000"/>
          <w:sz w:val="28"/>
          <w:szCs w:val="28"/>
        </w:rPr>
        <w:lastRenderedPageBreak/>
        <w:t>geographic areas, the use of a composite system average monetized reliabi</w:t>
      </w:r>
      <w:r w:rsidR="008F53EE" w:rsidRPr="00E67DF6">
        <w:rPr>
          <w:rFonts w:ascii="Times New Roman" w:eastAsia="+mn-ea" w:hAnsi="Times New Roman"/>
          <w:color w:val="000000"/>
          <w:sz w:val="28"/>
          <w:szCs w:val="28"/>
        </w:rPr>
        <w:t xml:space="preserve">lity value would be appropriate in some cases. </w:t>
      </w:r>
    </w:p>
    <w:p w:rsidR="007E1617" w:rsidRPr="00B63B9E" w:rsidRDefault="00A82FAF" w:rsidP="00371C4F">
      <w:pPr>
        <w:spacing w:before="240"/>
        <w:ind w:left="360"/>
        <w:rPr>
          <w:rFonts w:ascii="Times New Roman" w:hAnsi="Times New Roman"/>
          <w:sz w:val="28"/>
        </w:rPr>
      </w:pPr>
      <w:r w:rsidRPr="00DD0AE8">
        <w:rPr>
          <w:rFonts w:ascii="Times New Roman" w:hAnsi="Times New Roman"/>
          <w:sz w:val="28"/>
        </w:rPr>
        <w:t>To further guide potential reliability related investments (both smart and non-smart), t</w:t>
      </w:r>
      <w:r w:rsidR="007E1617" w:rsidRPr="00DD0AE8">
        <w:rPr>
          <w:rFonts w:ascii="Times New Roman" w:hAnsi="Times New Roman"/>
          <w:sz w:val="28"/>
        </w:rPr>
        <w:t xml:space="preserve">he Collaborative recommends that the ICC sponsor </w:t>
      </w:r>
      <w:r w:rsidRPr="00DD0AE8">
        <w:rPr>
          <w:rFonts w:ascii="Times New Roman" w:hAnsi="Times New Roman"/>
          <w:sz w:val="28"/>
        </w:rPr>
        <w:t>an independent review of the available studies and data on the monetization of relia</w:t>
      </w:r>
      <w:r w:rsidR="008F53EE" w:rsidRPr="00DD0AE8">
        <w:rPr>
          <w:rFonts w:ascii="Times New Roman" w:hAnsi="Times New Roman"/>
          <w:sz w:val="28"/>
        </w:rPr>
        <w:t>bility benefits, and, if needed</w:t>
      </w:r>
      <w:r w:rsidR="00EC3584">
        <w:rPr>
          <w:rFonts w:ascii="Times New Roman" w:hAnsi="Times New Roman"/>
          <w:sz w:val="28"/>
        </w:rPr>
        <w:t>, conduct a subsequent Illinois-</w:t>
      </w:r>
      <w:r w:rsidRPr="00DD0AE8">
        <w:rPr>
          <w:rFonts w:ascii="Times New Roman" w:hAnsi="Times New Roman"/>
          <w:sz w:val="28"/>
        </w:rPr>
        <w:t>specific</w:t>
      </w:r>
      <w:r w:rsidR="007E1617" w:rsidRPr="00DD0AE8">
        <w:rPr>
          <w:rFonts w:ascii="Times New Roman" w:hAnsi="Times New Roman"/>
          <w:sz w:val="28"/>
        </w:rPr>
        <w:t xml:space="preserve"> study (or studies) to determine the </w:t>
      </w:r>
      <w:r w:rsidR="00085C32">
        <w:rPr>
          <w:rFonts w:ascii="Times New Roman" w:hAnsi="Times New Roman"/>
          <w:sz w:val="28"/>
        </w:rPr>
        <w:t xml:space="preserve">cost of </w:t>
      </w:r>
      <w:r w:rsidR="007E1617" w:rsidRPr="00DD0AE8">
        <w:rPr>
          <w:rFonts w:ascii="Times New Roman" w:hAnsi="Times New Roman"/>
          <w:sz w:val="28"/>
        </w:rPr>
        <w:t>outages on various customer groups in Illinois.</w:t>
      </w:r>
      <w:r w:rsidRPr="00DD0AE8">
        <w:rPr>
          <w:rFonts w:ascii="Times New Roman" w:hAnsi="Times New Roman"/>
          <w:sz w:val="28"/>
        </w:rPr>
        <w:t xml:space="preserve"> </w:t>
      </w:r>
    </w:p>
    <w:p w:rsidR="002F7FC2" w:rsidRPr="00DD0AE8" w:rsidRDefault="00B414B8">
      <w:pPr>
        <w:spacing w:before="240"/>
        <w:rPr>
          <w:rFonts w:ascii="Times New Roman" w:hAnsi="Times New Roman"/>
          <w:sz w:val="28"/>
        </w:rPr>
      </w:pPr>
      <w:r>
        <w:rPr>
          <w:rFonts w:ascii="Times New Roman" w:hAnsi="Times New Roman"/>
          <w:b/>
          <w:sz w:val="28"/>
        </w:rPr>
        <w:t>Monetization of Benefits Associated with Retail Generation Supply Prices</w:t>
      </w:r>
      <w:r w:rsidR="002F7FC2" w:rsidRPr="00DD0AE8">
        <w:rPr>
          <w:rFonts w:ascii="Times New Roman" w:hAnsi="Times New Roman"/>
          <w:b/>
          <w:sz w:val="28"/>
        </w:rPr>
        <w:t xml:space="preserve"> </w:t>
      </w:r>
    </w:p>
    <w:p w:rsidR="00742F39" w:rsidRPr="00085C32" w:rsidRDefault="00F962F0" w:rsidP="00371C4F">
      <w:pPr>
        <w:spacing w:before="240"/>
        <w:rPr>
          <w:rFonts w:ascii="Times New Roman" w:hAnsi="Times New Roman"/>
          <w:sz w:val="28"/>
        </w:rPr>
      </w:pPr>
      <w:r w:rsidRPr="00085C32">
        <w:rPr>
          <w:rFonts w:ascii="Times New Roman" w:hAnsi="Times New Roman"/>
          <w:sz w:val="28"/>
        </w:rPr>
        <w:t xml:space="preserve">It is expected that </w:t>
      </w:r>
      <w:r w:rsidR="009D6106">
        <w:rPr>
          <w:rFonts w:ascii="Times New Roman" w:hAnsi="Times New Roman"/>
          <w:sz w:val="28"/>
        </w:rPr>
        <w:t>a Smart Grid cost-benefit analysis</w:t>
      </w:r>
      <w:r w:rsidR="00432343" w:rsidRPr="00085C32">
        <w:rPr>
          <w:rFonts w:ascii="Times New Roman" w:hAnsi="Times New Roman"/>
          <w:sz w:val="28"/>
        </w:rPr>
        <w:t xml:space="preserve"> </w:t>
      </w:r>
      <w:r w:rsidRPr="00085C32">
        <w:rPr>
          <w:rFonts w:ascii="Times New Roman" w:hAnsi="Times New Roman"/>
          <w:sz w:val="28"/>
        </w:rPr>
        <w:t xml:space="preserve">will include, where applicable, an analysis of how the described benefits associated with demand response and efficiency programs </w:t>
      </w:r>
      <w:r w:rsidR="00432343" w:rsidRPr="00085C32">
        <w:rPr>
          <w:rFonts w:ascii="Times New Roman" w:hAnsi="Times New Roman"/>
          <w:sz w:val="28"/>
        </w:rPr>
        <w:t>could</w:t>
      </w:r>
      <w:r w:rsidRPr="00085C32">
        <w:rPr>
          <w:rFonts w:ascii="Times New Roman" w:hAnsi="Times New Roman"/>
          <w:sz w:val="28"/>
        </w:rPr>
        <w:t xml:space="preserve"> result in benefits to retail customers as a result of lower generation supply prices.  These benefits typically result when the </w:t>
      </w:r>
      <w:r w:rsidR="00EB6A36">
        <w:rPr>
          <w:rFonts w:ascii="Times New Roman" w:hAnsi="Times New Roman"/>
          <w:sz w:val="28"/>
        </w:rPr>
        <w:t>smart grid</w:t>
      </w:r>
      <w:r w:rsidRPr="00085C32">
        <w:rPr>
          <w:rFonts w:ascii="Times New Roman" w:hAnsi="Times New Roman"/>
          <w:sz w:val="28"/>
        </w:rPr>
        <w:t xml:space="preserve"> demand response or efficiency program results in lower peak energy prices and/or lower demand for generation supply.  C</w:t>
      </w:r>
      <w:r w:rsidR="00742F39" w:rsidRPr="00085C32">
        <w:rPr>
          <w:rFonts w:ascii="Times New Roman" w:hAnsi="Times New Roman"/>
          <w:sz w:val="28"/>
        </w:rPr>
        <w:t>hanging the dispatch of generating units, thereby affe</w:t>
      </w:r>
      <w:r w:rsidR="00763B47">
        <w:rPr>
          <w:rFonts w:ascii="Times New Roman" w:hAnsi="Times New Roman"/>
          <w:sz w:val="28"/>
        </w:rPr>
        <w:t xml:space="preserve">cting wholesale market prices, </w:t>
      </w:r>
      <w:r w:rsidR="00742F39" w:rsidRPr="00085C32">
        <w:rPr>
          <w:rFonts w:ascii="Times New Roman" w:hAnsi="Times New Roman"/>
          <w:sz w:val="28"/>
        </w:rPr>
        <w:t xml:space="preserve">could </w:t>
      </w:r>
      <w:r w:rsidR="00432343" w:rsidRPr="00085C32">
        <w:rPr>
          <w:rFonts w:ascii="Times New Roman" w:hAnsi="Times New Roman"/>
          <w:sz w:val="28"/>
        </w:rPr>
        <w:t xml:space="preserve">benefit </w:t>
      </w:r>
      <w:r w:rsidR="00742F39" w:rsidRPr="00085C32">
        <w:rPr>
          <w:rFonts w:ascii="Times New Roman" w:hAnsi="Times New Roman"/>
          <w:sz w:val="28"/>
        </w:rPr>
        <w:t xml:space="preserve">customers within the region, not just participating customers of the utility.  </w:t>
      </w:r>
      <w:r w:rsidRPr="00085C32">
        <w:rPr>
          <w:rFonts w:ascii="Times New Roman" w:hAnsi="Times New Roman"/>
          <w:sz w:val="28"/>
        </w:rPr>
        <w:t xml:space="preserve">The </w:t>
      </w:r>
      <w:r w:rsidR="00432343" w:rsidRPr="00085C32">
        <w:rPr>
          <w:rFonts w:ascii="Times New Roman" w:hAnsi="Times New Roman"/>
          <w:sz w:val="28"/>
        </w:rPr>
        <w:t>evaluation</w:t>
      </w:r>
      <w:r w:rsidRPr="00085C32">
        <w:rPr>
          <w:rFonts w:ascii="Times New Roman" w:hAnsi="Times New Roman"/>
          <w:sz w:val="28"/>
        </w:rPr>
        <w:t xml:space="preserve"> should project the extent of the demand response that is </w:t>
      </w:r>
      <w:r w:rsidR="00371C4F">
        <w:rPr>
          <w:rFonts w:ascii="Times New Roman" w:hAnsi="Times New Roman"/>
          <w:sz w:val="28"/>
        </w:rPr>
        <w:t xml:space="preserve">likely to occur </w:t>
      </w:r>
      <w:r w:rsidRPr="00085C32">
        <w:rPr>
          <w:rFonts w:ascii="Times New Roman" w:hAnsi="Times New Roman"/>
          <w:sz w:val="28"/>
        </w:rPr>
        <w:t xml:space="preserve">as a result of one or more </w:t>
      </w:r>
      <w:r w:rsidR="00EB6A36">
        <w:rPr>
          <w:rFonts w:ascii="Times New Roman" w:hAnsi="Times New Roman"/>
          <w:sz w:val="28"/>
        </w:rPr>
        <w:t>smart grid</w:t>
      </w:r>
      <w:r w:rsidRPr="00085C32">
        <w:rPr>
          <w:rFonts w:ascii="Times New Roman" w:hAnsi="Times New Roman"/>
          <w:sz w:val="28"/>
        </w:rPr>
        <w:t xml:space="preserve"> applications relied upon to justify benefits associated with lower generation supply prices.  </w:t>
      </w:r>
      <w:r w:rsidR="00742F39" w:rsidRPr="00085C32">
        <w:rPr>
          <w:rFonts w:ascii="Times New Roman" w:hAnsi="Times New Roman"/>
          <w:sz w:val="28"/>
        </w:rPr>
        <w:t>The magnitude of any effect on wholesale markets would depend on the extent of demand response by retail customers at any given time. Changes in the load curve could produce:</w:t>
      </w:r>
    </w:p>
    <w:p w:rsidR="00D328EB" w:rsidRDefault="00742F39">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Energy price mitigation. Reduced usage may result in lower real-time and short-term energy market clearing prices, particularly if the specific generation mix utilized to meet the adjusted load shape has a lower variable cost of production (largely fuel).  The effect of reduced usage on market energy prices could be magnified during times when the transmission system is constrained, because congestion is a component of Locational Marginal Prices (LMPs). Reduced line losses due to smart grid functionalities (such as dynamic line rating) could add to the mitigation of energy prices, especially during times when the delivery system is constrained (and higher than average loss factors occur).</w:t>
      </w:r>
    </w:p>
    <w:p w:rsidR="00D328EB" w:rsidRDefault="00742F39">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lastRenderedPageBreak/>
        <w:t xml:space="preserve">Capacity price mitigation. In the long run, lower electricity demand may defer construction of generation and transmission and may lead to lower wholesale capacity market prices. </w:t>
      </w:r>
    </w:p>
    <w:p w:rsidR="00D328EB" w:rsidRDefault="00742F39">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Depending on the market and/or administrative mechanisms and policies employed by an RTO to set and recover </w:t>
      </w:r>
      <w:r w:rsidR="005D5A08" w:rsidRPr="00E67DF6">
        <w:rPr>
          <w:rFonts w:ascii="Times New Roman" w:eastAsia="+mn-ea" w:hAnsi="Times New Roman"/>
          <w:color w:val="000000"/>
          <w:sz w:val="28"/>
          <w:szCs w:val="28"/>
        </w:rPr>
        <w:t xml:space="preserve">energy and </w:t>
      </w:r>
      <w:r w:rsidRPr="00E67DF6">
        <w:rPr>
          <w:rFonts w:ascii="Times New Roman" w:eastAsia="+mn-ea" w:hAnsi="Times New Roman"/>
          <w:color w:val="000000"/>
          <w:sz w:val="28"/>
          <w:szCs w:val="28"/>
        </w:rPr>
        <w:t>capacity costs,</w:t>
      </w:r>
      <w:r w:rsidR="005A64D2" w:rsidRPr="00E67DF6">
        <w:rPr>
          <w:rFonts w:ascii="Times New Roman" w:eastAsia="+mn-ea" w:hAnsi="Times New Roman"/>
          <w:color w:val="000000"/>
          <w:sz w:val="28"/>
          <w:szCs w:val="28"/>
        </w:rPr>
        <w:t xml:space="preserve"> </w:t>
      </w:r>
      <w:r w:rsidR="005D5A08" w:rsidRPr="00E67DF6">
        <w:rPr>
          <w:rFonts w:ascii="Times New Roman" w:eastAsia="+mn-ea" w:hAnsi="Times New Roman"/>
          <w:color w:val="000000"/>
          <w:sz w:val="28"/>
          <w:szCs w:val="28"/>
        </w:rPr>
        <w:t xml:space="preserve">how power and energy are acquired in the market, </w:t>
      </w:r>
      <w:r w:rsidRPr="00E67DF6">
        <w:rPr>
          <w:rFonts w:ascii="Times New Roman" w:eastAsia="+mn-ea" w:hAnsi="Times New Roman"/>
          <w:color w:val="000000"/>
          <w:sz w:val="28"/>
          <w:szCs w:val="28"/>
        </w:rPr>
        <w:t xml:space="preserve">and how these costs are allocated and recovered from retail customers by utilities and other providers, reduced demand could engender customer savings in the RTO region.  The extent to which such effects can be monetized in the short run for customers </w:t>
      </w:r>
      <w:r w:rsidR="00432343" w:rsidRPr="00E67DF6">
        <w:rPr>
          <w:rFonts w:ascii="Times New Roman" w:eastAsia="+mn-ea" w:hAnsi="Times New Roman"/>
          <w:color w:val="000000"/>
          <w:sz w:val="28"/>
          <w:szCs w:val="28"/>
        </w:rPr>
        <w:t xml:space="preserve">will </w:t>
      </w:r>
      <w:r w:rsidRPr="00E67DF6">
        <w:rPr>
          <w:rFonts w:ascii="Times New Roman" w:eastAsia="+mn-ea" w:hAnsi="Times New Roman"/>
          <w:color w:val="000000"/>
          <w:sz w:val="28"/>
          <w:szCs w:val="28"/>
        </w:rPr>
        <w:t xml:space="preserve">be dependent on the certainty and timing of projected reductions in load.  </w:t>
      </w:r>
    </w:p>
    <w:p w:rsidR="00F82E11" w:rsidRPr="00DD0AE8" w:rsidRDefault="00F7211A" w:rsidP="00371C4F">
      <w:pPr>
        <w:spacing w:before="240"/>
        <w:rPr>
          <w:rFonts w:ascii="Times New Roman" w:hAnsi="Times New Roman"/>
          <w:sz w:val="28"/>
        </w:rPr>
      </w:pPr>
      <w:r w:rsidRPr="00DD0AE8">
        <w:rPr>
          <w:rFonts w:ascii="Times New Roman" w:hAnsi="Times New Roman"/>
          <w:sz w:val="28"/>
        </w:rPr>
        <w:t>Estimating the value associated with the respective categories of benefits listed above can require complex models with numerous inputs and calculations.</w:t>
      </w:r>
      <w:r w:rsidR="00103F60" w:rsidRPr="00DD0AE8">
        <w:rPr>
          <w:rFonts w:ascii="Times New Roman" w:hAnsi="Times New Roman"/>
          <w:sz w:val="28"/>
        </w:rPr>
        <w:t xml:space="preserve">  Depending on the types of benefits being modeled, simplifying assumptions </w:t>
      </w:r>
      <w:r w:rsidR="00F82E11" w:rsidRPr="00DD0AE8">
        <w:rPr>
          <w:rFonts w:ascii="Times New Roman" w:hAnsi="Times New Roman"/>
          <w:sz w:val="28"/>
        </w:rPr>
        <w:t xml:space="preserve">and models </w:t>
      </w:r>
      <w:r w:rsidR="00103F60" w:rsidRPr="00DD0AE8">
        <w:rPr>
          <w:rFonts w:ascii="Times New Roman" w:hAnsi="Times New Roman"/>
          <w:sz w:val="28"/>
        </w:rPr>
        <w:t xml:space="preserve">can be utilized – making the number of inputs and calculations more </w:t>
      </w:r>
      <w:r w:rsidR="00103F60" w:rsidRPr="00E67DF6">
        <w:rPr>
          <w:rFonts w:ascii="Times New Roman" w:eastAsia="+mn-ea" w:hAnsi="Times New Roman"/>
          <w:color w:val="000000"/>
          <w:sz w:val="28"/>
          <w:szCs w:val="28"/>
        </w:rPr>
        <w:t>manageable, while mai</w:t>
      </w:r>
      <w:r w:rsidR="00F82E11" w:rsidRPr="00E67DF6">
        <w:rPr>
          <w:rFonts w:ascii="Times New Roman" w:eastAsia="+mn-ea" w:hAnsi="Times New Roman"/>
          <w:color w:val="000000"/>
          <w:sz w:val="28"/>
          <w:szCs w:val="28"/>
        </w:rPr>
        <w:t>ntaining an acceptable level of</w:t>
      </w:r>
      <w:r w:rsidR="00103F60" w:rsidRPr="00E67DF6">
        <w:rPr>
          <w:rFonts w:ascii="Times New Roman" w:eastAsia="+mn-ea" w:hAnsi="Times New Roman"/>
          <w:color w:val="000000"/>
          <w:sz w:val="28"/>
          <w:szCs w:val="28"/>
        </w:rPr>
        <w:t xml:space="preserve"> </w:t>
      </w:r>
      <w:r w:rsidR="00F82E11" w:rsidRPr="00E67DF6">
        <w:rPr>
          <w:rFonts w:ascii="Times New Roman" w:eastAsia="+mn-ea" w:hAnsi="Times New Roman"/>
          <w:color w:val="000000"/>
          <w:sz w:val="28"/>
          <w:szCs w:val="28"/>
        </w:rPr>
        <w:t>precision.  The type of</w:t>
      </w:r>
      <w:r w:rsidR="00F82E11" w:rsidRPr="00DD0AE8">
        <w:rPr>
          <w:rFonts w:ascii="Times New Roman" w:hAnsi="Times New Roman"/>
          <w:sz w:val="28"/>
        </w:rPr>
        <w:t xml:space="preserve"> model required is driven by the nature of the benefits that are being estimated:</w:t>
      </w:r>
    </w:p>
    <w:p w:rsidR="00D328EB" w:rsidRDefault="00F82E1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A system dispatch model could be utilized to evaluate the potential value associated with reduced production costs.</w:t>
      </w:r>
      <w:r w:rsidR="00C720D0" w:rsidRPr="00E67DF6">
        <w:rPr>
          <w:rFonts w:ascii="Times New Roman" w:eastAsia="+mn-ea" w:hAnsi="Times New Roman"/>
          <w:color w:val="000000"/>
          <w:sz w:val="28"/>
          <w:szCs w:val="28"/>
        </w:rPr>
        <w:t xml:space="preserve">  </w:t>
      </w:r>
    </w:p>
    <w:p w:rsidR="00D328EB" w:rsidRDefault="00F82E1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Load flow studies could be performed under different scenarios to evaluate the potential value associated with </w:t>
      </w:r>
      <w:r w:rsidR="00C720D0" w:rsidRPr="00E67DF6">
        <w:rPr>
          <w:rFonts w:ascii="Times New Roman" w:eastAsia="+mn-ea" w:hAnsi="Times New Roman"/>
          <w:color w:val="000000"/>
          <w:sz w:val="28"/>
          <w:szCs w:val="28"/>
        </w:rPr>
        <w:t>lower congestion costs and line losses.</w:t>
      </w:r>
    </w:p>
    <w:p w:rsidR="00D328EB" w:rsidRDefault="00F82E11">
      <w:pPr>
        <w:pStyle w:val="ListParagraph"/>
        <w:numPr>
          <w:ilvl w:val="1"/>
          <w:numId w:val="1"/>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E67DF6">
        <w:rPr>
          <w:rFonts w:ascii="Times New Roman" w:eastAsia="+mn-ea" w:hAnsi="Times New Roman"/>
          <w:color w:val="000000"/>
          <w:sz w:val="28"/>
          <w:szCs w:val="28"/>
        </w:rPr>
        <w:t xml:space="preserve">A system planning model could be utilized to evaluate the potential value of deferring future generation and/or transmission investments.  </w:t>
      </w:r>
      <w:r w:rsidR="00F7211A" w:rsidRPr="00E67DF6">
        <w:rPr>
          <w:rFonts w:ascii="Times New Roman" w:eastAsia="+mn-ea" w:hAnsi="Times New Roman"/>
          <w:color w:val="000000"/>
          <w:sz w:val="28"/>
          <w:szCs w:val="28"/>
        </w:rPr>
        <w:t xml:space="preserve"> </w:t>
      </w:r>
      <w:r w:rsidR="00103F60" w:rsidRPr="00E67DF6">
        <w:rPr>
          <w:rFonts w:ascii="Times New Roman" w:eastAsia="+mn-ea" w:hAnsi="Times New Roman"/>
          <w:color w:val="000000"/>
          <w:sz w:val="28"/>
          <w:szCs w:val="28"/>
        </w:rPr>
        <w:t xml:space="preserve"> </w:t>
      </w:r>
    </w:p>
    <w:p w:rsidR="007E1617" w:rsidRPr="00DD0AE8" w:rsidRDefault="0056248A" w:rsidP="00371C4F">
      <w:pPr>
        <w:spacing w:before="240"/>
        <w:rPr>
          <w:rFonts w:ascii="Times New Roman" w:hAnsi="Times New Roman"/>
          <w:sz w:val="28"/>
        </w:rPr>
      </w:pPr>
      <w:r w:rsidRPr="00DD0AE8">
        <w:rPr>
          <w:rFonts w:ascii="Times New Roman" w:hAnsi="Times New Roman"/>
          <w:sz w:val="28"/>
        </w:rPr>
        <w:t>The potential impact across a large system footprint</w:t>
      </w:r>
      <w:r w:rsidR="007E1617" w:rsidRPr="00DD0AE8">
        <w:rPr>
          <w:rFonts w:ascii="Times New Roman" w:hAnsi="Times New Roman"/>
          <w:sz w:val="28"/>
        </w:rPr>
        <w:t xml:space="preserve"> raises issues surrounding which, if any, such benefits should be included in the analysis.  Alternatives range from not including any such benefits, to accounting for only those benefits accruing to participating customers</w:t>
      </w:r>
      <w:r w:rsidRPr="00DD0AE8">
        <w:rPr>
          <w:rFonts w:ascii="Times New Roman" w:hAnsi="Times New Roman"/>
          <w:sz w:val="28"/>
        </w:rPr>
        <w:t xml:space="preserve"> (when applicable)</w:t>
      </w:r>
      <w:r w:rsidR="007E1617" w:rsidRPr="00DD0AE8">
        <w:rPr>
          <w:rFonts w:ascii="Times New Roman" w:hAnsi="Times New Roman"/>
          <w:sz w:val="28"/>
        </w:rPr>
        <w:t xml:space="preserve">, to all utility customers, to all affected customers in the state of Illinois, or to customers within the regional dispatch footprint (i.e., the ISO). </w:t>
      </w:r>
    </w:p>
    <w:p w:rsidR="0015607C" w:rsidRPr="00DD0AE8" w:rsidRDefault="00591A6B" w:rsidP="00371C4F">
      <w:pPr>
        <w:spacing w:before="240"/>
        <w:rPr>
          <w:rFonts w:ascii="Times New Roman" w:hAnsi="Times New Roman"/>
          <w:sz w:val="28"/>
        </w:rPr>
      </w:pPr>
      <w:r>
        <w:rPr>
          <w:rFonts w:ascii="Times New Roman" w:hAnsi="Times New Roman"/>
          <w:sz w:val="28"/>
        </w:rPr>
        <w:lastRenderedPageBreak/>
        <w:t xml:space="preserve">The extent of direct customer benefits from wholesale market effects depends </w:t>
      </w:r>
      <w:r w:rsidR="00F962F0">
        <w:rPr>
          <w:rFonts w:ascii="Times New Roman" w:hAnsi="Times New Roman"/>
          <w:sz w:val="28"/>
        </w:rPr>
        <w:t xml:space="preserve">in part </w:t>
      </w:r>
      <w:r>
        <w:rPr>
          <w:rFonts w:ascii="Times New Roman" w:hAnsi="Times New Roman"/>
          <w:sz w:val="28"/>
        </w:rPr>
        <w:t xml:space="preserve">on the procurement process for energy and capacity and how those costs are recovered from retail customers. </w:t>
      </w:r>
      <w:r w:rsidR="0015607C" w:rsidRPr="00DD0AE8">
        <w:rPr>
          <w:rFonts w:ascii="Times New Roman" w:hAnsi="Times New Roman"/>
          <w:sz w:val="28"/>
        </w:rPr>
        <w:t>The existence of long term wholesale energy procurement contracts on behalf of retail customers (</w:t>
      </w:r>
      <w:r w:rsidR="00371529">
        <w:rPr>
          <w:rFonts w:ascii="Times New Roman" w:hAnsi="Times New Roman"/>
          <w:sz w:val="28"/>
        </w:rPr>
        <w:t>such as</w:t>
      </w:r>
      <w:r w:rsidR="00085C32">
        <w:rPr>
          <w:rFonts w:ascii="Times New Roman" w:hAnsi="Times New Roman"/>
          <w:sz w:val="28"/>
        </w:rPr>
        <w:t xml:space="preserve"> </w:t>
      </w:r>
      <w:r w:rsidR="0015607C" w:rsidRPr="00DD0AE8">
        <w:rPr>
          <w:rFonts w:ascii="Times New Roman" w:hAnsi="Times New Roman"/>
          <w:sz w:val="28"/>
        </w:rPr>
        <w:t xml:space="preserve">contracts supporting the IPA procurement process) </w:t>
      </w:r>
      <w:r w:rsidR="005D5A08">
        <w:rPr>
          <w:rFonts w:ascii="Times New Roman" w:hAnsi="Times New Roman"/>
          <w:sz w:val="28"/>
        </w:rPr>
        <w:t xml:space="preserve">and other factors (e.g., </w:t>
      </w:r>
      <w:r w:rsidR="00371529">
        <w:rPr>
          <w:rFonts w:ascii="Times New Roman" w:hAnsi="Times New Roman"/>
          <w:sz w:val="28"/>
        </w:rPr>
        <w:t xml:space="preserve">load </w:t>
      </w:r>
      <w:r w:rsidR="005D5A08">
        <w:rPr>
          <w:rFonts w:ascii="Times New Roman" w:hAnsi="Times New Roman"/>
          <w:sz w:val="28"/>
        </w:rPr>
        <w:t xml:space="preserve">profile changes insufficient to change procurement products or strategies) </w:t>
      </w:r>
      <w:r w:rsidR="0015607C" w:rsidRPr="00DD0AE8">
        <w:rPr>
          <w:rFonts w:ascii="Times New Roman" w:hAnsi="Times New Roman"/>
          <w:sz w:val="28"/>
        </w:rPr>
        <w:t>could serve to limit or defer the realization of expected benefits associated with changes to the load curve that would otherwise accrue to retail customers</w:t>
      </w:r>
      <w:r w:rsidR="00240BC7" w:rsidRPr="00DD0AE8">
        <w:rPr>
          <w:rFonts w:ascii="Times New Roman" w:hAnsi="Times New Roman"/>
          <w:sz w:val="28"/>
        </w:rPr>
        <w:t>.  This is especially true in cases where the pricing of wholesale contracts during the contract term is unaffected by changes in the wholesale price of energy</w:t>
      </w:r>
      <w:r w:rsidR="0015607C" w:rsidRPr="00DD0AE8">
        <w:rPr>
          <w:rFonts w:ascii="Times New Roman" w:hAnsi="Times New Roman"/>
          <w:sz w:val="28"/>
        </w:rPr>
        <w:t>.</w:t>
      </w:r>
      <w:r w:rsidR="00240BC7" w:rsidRPr="00DD0AE8">
        <w:rPr>
          <w:rFonts w:ascii="Times New Roman" w:hAnsi="Times New Roman"/>
          <w:sz w:val="28"/>
        </w:rPr>
        <w:t xml:space="preserve">  </w:t>
      </w:r>
    </w:p>
    <w:p w:rsidR="007E1617" w:rsidRPr="00371C4F" w:rsidRDefault="007E1617" w:rsidP="00371C4F">
      <w:pPr>
        <w:spacing w:before="240"/>
        <w:ind w:left="360"/>
        <w:rPr>
          <w:rFonts w:ascii="Times New Roman" w:hAnsi="Times New Roman"/>
          <w:b/>
          <w:i/>
          <w:sz w:val="28"/>
        </w:rPr>
      </w:pPr>
      <w:r w:rsidRPr="00371C4F">
        <w:rPr>
          <w:rFonts w:ascii="Times New Roman" w:hAnsi="Times New Roman"/>
          <w:b/>
          <w:i/>
          <w:sz w:val="28"/>
        </w:rPr>
        <w:t>Recommendations</w:t>
      </w:r>
    </w:p>
    <w:p w:rsidR="007E1617" w:rsidRPr="00DD0AE8" w:rsidRDefault="001A7666" w:rsidP="00371C4F">
      <w:pPr>
        <w:spacing w:before="240"/>
        <w:ind w:left="360"/>
        <w:rPr>
          <w:rFonts w:ascii="Times New Roman" w:hAnsi="Times New Roman"/>
          <w:sz w:val="28"/>
        </w:rPr>
      </w:pPr>
      <w:r w:rsidRPr="00DD0AE8">
        <w:rPr>
          <w:rFonts w:ascii="Times New Roman" w:hAnsi="Times New Roman"/>
          <w:sz w:val="28"/>
        </w:rPr>
        <w:t>The estimation of potential benefits associated with changes in load shape should be accompanied by a discussion of the methodology and assumptions used in deriving the estimates.  This discussion should describe the model(s) used, model inputs and outputs, model logic</w:t>
      </w:r>
      <w:r w:rsidR="008D199A" w:rsidRPr="00DD0AE8">
        <w:rPr>
          <w:rFonts w:ascii="Times New Roman" w:hAnsi="Times New Roman"/>
          <w:sz w:val="28"/>
        </w:rPr>
        <w:t xml:space="preserve"> (at a high level)</w:t>
      </w:r>
      <w:r w:rsidRPr="00DD0AE8">
        <w:rPr>
          <w:rFonts w:ascii="Times New Roman" w:hAnsi="Times New Roman"/>
          <w:sz w:val="28"/>
        </w:rPr>
        <w:t>, scenarios performed, and how model results are to be interpreted.</w:t>
      </w:r>
    </w:p>
    <w:p w:rsidR="007E1617" w:rsidRPr="00DD0AE8" w:rsidRDefault="008D199A" w:rsidP="00371C4F">
      <w:pPr>
        <w:spacing w:before="240"/>
        <w:ind w:left="360"/>
        <w:rPr>
          <w:rFonts w:ascii="Times New Roman" w:hAnsi="Times New Roman"/>
          <w:sz w:val="28"/>
        </w:rPr>
      </w:pPr>
      <w:r w:rsidRPr="00DD0AE8">
        <w:rPr>
          <w:rFonts w:ascii="Times New Roman" w:hAnsi="Times New Roman"/>
          <w:sz w:val="28"/>
        </w:rPr>
        <w:t xml:space="preserve">Benefits from changes in the load shape should be limited to those that are expected to accrue to electricity consumers in Illinois.  Benefits expected outside the state can be noted, but should not be included in the cost-benefit analysis except in </w:t>
      </w:r>
      <w:r w:rsidR="0096380E" w:rsidRPr="00DD0AE8">
        <w:rPr>
          <w:rFonts w:ascii="Times New Roman" w:hAnsi="Times New Roman"/>
          <w:sz w:val="28"/>
        </w:rPr>
        <w:t>support of a Societal Test</w:t>
      </w:r>
      <w:r w:rsidRPr="00DD0AE8">
        <w:rPr>
          <w:rFonts w:ascii="Times New Roman" w:hAnsi="Times New Roman"/>
          <w:sz w:val="28"/>
        </w:rPr>
        <w:t>.</w:t>
      </w:r>
    </w:p>
    <w:p w:rsidR="007E1617" w:rsidRPr="000F2E7D" w:rsidRDefault="007E1617">
      <w:pPr>
        <w:jc w:val="center"/>
        <w:rPr>
          <w:rFonts w:ascii="Times New Roman" w:hAnsi="Times New Roman"/>
          <w:sz w:val="24"/>
        </w:rPr>
      </w:pPr>
      <w:r w:rsidRPr="00DD0AE8">
        <w:rPr>
          <w:rFonts w:ascii="Times New Roman" w:hAnsi="Times New Roman"/>
          <w:b/>
          <w:sz w:val="40"/>
        </w:rPr>
        <w:br w:type="page"/>
      </w:r>
      <w:r w:rsidRPr="000F2E7D">
        <w:rPr>
          <w:rFonts w:ascii="Times New Roman" w:hAnsi="Times New Roman"/>
          <w:b/>
          <w:sz w:val="36"/>
        </w:rPr>
        <w:lastRenderedPageBreak/>
        <w:t>Monitoring and Verification of Results</w:t>
      </w:r>
    </w:p>
    <w:p w:rsidR="007E1617" w:rsidRPr="00DD0AE8" w:rsidRDefault="007E1617">
      <w:pPr>
        <w:spacing w:before="240"/>
        <w:rPr>
          <w:rFonts w:ascii="Times New Roman" w:hAnsi="Times New Roman"/>
          <w:b/>
          <w:sz w:val="28"/>
        </w:rPr>
      </w:pPr>
      <w:r w:rsidRPr="00DD0AE8">
        <w:rPr>
          <w:rFonts w:ascii="Times New Roman" w:hAnsi="Times New Roman"/>
          <w:sz w:val="28"/>
        </w:rPr>
        <w:t>This section contains Collaborative discussion</w:t>
      </w:r>
      <w:r w:rsidR="00EC3584">
        <w:rPr>
          <w:rFonts w:ascii="Times New Roman" w:hAnsi="Times New Roman"/>
          <w:sz w:val="28"/>
        </w:rPr>
        <w:t>s</w:t>
      </w:r>
      <w:r w:rsidRPr="00DD0AE8">
        <w:rPr>
          <w:rFonts w:ascii="Times New Roman" w:hAnsi="Times New Roman"/>
          <w:sz w:val="28"/>
        </w:rPr>
        <w:t xml:space="preserve"> and recommendations on issues related to monitoring and verification of expected costs and benefits </w:t>
      </w:r>
    </w:p>
    <w:p w:rsidR="001550A3" w:rsidRDefault="007E1617" w:rsidP="00371C4F">
      <w:pPr>
        <w:spacing w:before="240"/>
        <w:rPr>
          <w:rFonts w:ascii="Times New Roman" w:hAnsi="Times New Roman"/>
          <w:sz w:val="28"/>
        </w:rPr>
      </w:pPr>
      <w:r w:rsidRPr="0006041F">
        <w:rPr>
          <w:rFonts w:ascii="Times New Roman" w:hAnsi="Times New Roman"/>
          <w:sz w:val="28"/>
        </w:rPr>
        <w:t>Given the magnitude and uncertainty surrounding some potential smart grid investments, as well as the likelihood that such investments may take place over an extended period, it may be appropriate to provide for an ongoing evaluation of smart grid investments following Commission approval and implementation</w:t>
      </w:r>
      <w:r w:rsidR="00EC3584">
        <w:rPr>
          <w:rFonts w:ascii="Times New Roman" w:hAnsi="Times New Roman"/>
          <w:sz w:val="28"/>
        </w:rPr>
        <w:t>.</w:t>
      </w:r>
      <w:r w:rsidRPr="0006041F">
        <w:rPr>
          <w:rFonts w:ascii="Times New Roman" w:hAnsi="Times New Roman"/>
          <w:sz w:val="28"/>
        </w:rPr>
        <w:t xml:space="preserve"> </w:t>
      </w:r>
      <w:r w:rsidR="00EC3584">
        <w:rPr>
          <w:rFonts w:ascii="Times New Roman" w:hAnsi="Times New Roman"/>
          <w:sz w:val="28"/>
        </w:rPr>
        <w:t xml:space="preserve"> Ongoing evaluation could </w:t>
      </w:r>
      <w:r w:rsidRPr="0006041F">
        <w:rPr>
          <w:rFonts w:ascii="Times New Roman" w:hAnsi="Times New Roman"/>
          <w:sz w:val="28"/>
        </w:rPr>
        <w:t xml:space="preserve">confirm that actual costs and benefits are </w:t>
      </w:r>
      <w:r w:rsidR="009D6106">
        <w:rPr>
          <w:rFonts w:ascii="Times New Roman" w:hAnsi="Times New Roman"/>
          <w:sz w:val="28"/>
        </w:rPr>
        <w:t>in fact</w:t>
      </w:r>
      <w:r w:rsidR="009D6106" w:rsidRPr="0006041F">
        <w:rPr>
          <w:rFonts w:ascii="Times New Roman" w:hAnsi="Times New Roman"/>
          <w:sz w:val="28"/>
        </w:rPr>
        <w:t xml:space="preserve"> </w:t>
      </w:r>
      <w:r w:rsidRPr="0006041F">
        <w:rPr>
          <w:rFonts w:ascii="Times New Roman" w:hAnsi="Times New Roman"/>
          <w:sz w:val="28"/>
        </w:rPr>
        <w:t>reasonably consistent with those estimated in the cost-benefit analysis</w:t>
      </w:r>
      <w:r w:rsidR="00EC3584">
        <w:rPr>
          <w:rFonts w:ascii="Times New Roman" w:hAnsi="Times New Roman"/>
          <w:sz w:val="28"/>
        </w:rPr>
        <w:t>,</w:t>
      </w:r>
      <w:r w:rsidRPr="0006041F">
        <w:rPr>
          <w:rFonts w:ascii="Times New Roman" w:hAnsi="Times New Roman"/>
          <w:sz w:val="28"/>
        </w:rPr>
        <w:t xml:space="preserve"> and </w:t>
      </w:r>
      <w:r w:rsidR="00EC3584">
        <w:rPr>
          <w:rFonts w:ascii="Times New Roman" w:hAnsi="Times New Roman"/>
          <w:sz w:val="28"/>
        </w:rPr>
        <w:t>could</w:t>
      </w:r>
      <w:r w:rsidRPr="0006041F">
        <w:rPr>
          <w:rFonts w:ascii="Times New Roman" w:hAnsi="Times New Roman"/>
          <w:sz w:val="28"/>
        </w:rPr>
        <w:t xml:space="preserve"> develop more accurate estimates for future analyses.  Monitoring and verification can potentially identify flawed </w:t>
      </w:r>
      <w:r w:rsidR="00EC3584">
        <w:rPr>
          <w:rFonts w:ascii="Times New Roman" w:hAnsi="Times New Roman"/>
          <w:sz w:val="28"/>
        </w:rPr>
        <w:t xml:space="preserve">initial </w:t>
      </w:r>
      <w:r w:rsidRPr="0006041F">
        <w:rPr>
          <w:rFonts w:ascii="Times New Roman" w:hAnsi="Times New Roman"/>
          <w:sz w:val="28"/>
        </w:rPr>
        <w:t xml:space="preserve">assumptions and provide </w:t>
      </w:r>
      <w:r w:rsidR="00371529">
        <w:rPr>
          <w:rFonts w:ascii="Times New Roman" w:hAnsi="Times New Roman"/>
          <w:sz w:val="28"/>
        </w:rPr>
        <w:t xml:space="preserve">for </w:t>
      </w:r>
      <w:r w:rsidR="001550A3">
        <w:rPr>
          <w:rFonts w:ascii="Times New Roman" w:hAnsi="Times New Roman"/>
          <w:sz w:val="28"/>
        </w:rPr>
        <w:t xml:space="preserve">modification of smart grid deployment, planning, and implementation </w:t>
      </w:r>
      <w:r w:rsidRPr="00DD0AE8">
        <w:rPr>
          <w:rFonts w:ascii="Times New Roman" w:hAnsi="Times New Roman"/>
          <w:sz w:val="28"/>
        </w:rPr>
        <w:t>.  It may be pos</w:t>
      </w:r>
      <w:r w:rsidR="00763B47">
        <w:rPr>
          <w:rFonts w:ascii="Times New Roman" w:hAnsi="Times New Roman"/>
          <w:sz w:val="28"/>
        </w:rPr>
        <w:t xml:space="preserve">sible to structure </w:t>
      </w:r>
      <w:r w:rsidRPr="00DD0AE8">
        <w:rPr>
          <w:rFonts w:ascii="Times New Roman" w:hAnsi="Times New Roman"/>
          <w:sz w:val="28"/>
        </w:rPr>
        <w:t xml:space="preserve">implementation of some large smart grid investments in phases so that results can be confirmed on a smaller scale prior to full-scale implementation.  However, it should be recognized that, with some smart grid investments, the realization of benefits may take an extended period of time to develop. </w:t>
      </w:r>
      <w:r w:rsidR="004F5026">
        <w:rPr>
          <w:rFonts w:ascii="Times New Roman" w:hAnsi="Times New Roman"/>
          <w:sz w:val="28"/>
        </w:rPr>
        <w:t xml:space="preserve"> </w:t>
      </w:r>
      <w:r w:rsidRPr="00DD0AE8">
        <w:rPr>
          <w:rFonts w:ascii="Times New Roman" w:hAnsi="Times New Roman"/>
          <w:sz w:val="28"/>
        </w:rPr>
        <w:t>The timing of estimated benefits (and costs) should be reflected in the cost-benefit analysis.</w:t>
      </w:r>
      <w:r w:rsidR="00DC7104" w:rsidRPr="00DC7104">
        <w:rPr>
          <w:rFonts w:ascii="Times New Roman" w:hAnsi="Times New Roman"/>
          <w:sz w:val="28"/>
        </w:rPr>
        <w:t xml:space="preserve"> </w:t>
      </w:r>
      <w:r w:rsidR="00DC7104">
        <w:rPr>
          <w:rFonts w:ascii="Times New Roman" w:hAnsi="Times New Roman"/>
          <w:sz w:val="28"/>
        </w:rPr>
        <w:t>How and when to assess the prudenc</w:t>
      </w:r>
      <w:r w:rsidR="00371529">
        <w:rPr>
          <w:rFonts w:ascii="Times New Roman" w:hAnsi="Times New Roman"/>
          <w:sz w:val="28"/>
        </w:rPr>
        <w:t>e</w:t>
      </w:r>
      <w:r w:rsidR="00DC7104">
        <w:rPr>
          <w:rFonts w:ascii="Times New Roman" w:hAnsi="Times New Roman"/>
          <w:sz w:val="28"/>
        </w:rPr>
        <w:t xml:space="preserve"> of smart grid investments for regulatory purposes is a separate and distinct issue for the </w:t>
      </w:r>
      <w:r w:rsidR="007671EC">
        <w:rPr>
          <w:rFonts w:ascii="Times New Roman" w:hAnsi="Times New Roman"/>
          <w:sz w:val="28"/>
        </w:rPr>
        <w:t>C</w:t>
      </w:r>
      <w:r w:rsidR="00DC7104">
        <w:rPr>
          <w:rFonts w:ascii="Times New Roman" w:hAnsi="Times New Roman"/>
          <w:sz w:val="28"/>
        </w:rPr>
        <w:t>ommission to evaluate.</w:t>
      </w:r>
      <w:r w:rsidR="00FB2C60">
        <w:rPr>
          <w:rFonts w:ascii="Times New Roman" w:hAnsi="Times New Roman"/>
          <w:sz w:val="28"/>
        </w:rPr>
        <w:t xml:space="preserve"> </w:t>
      </w:r>
    </w:p>
    <w:p w:rsidR="00F53C79" w:rsidRDefault="001550A3" w:rsidP="00371C4F">
      <w:pPr>
        <w:spacing w:before="240"/>
        <w:rPr>
          <w:rFonts w:ascii="Times New Roman" w:hAnsi="Times New Roman"/>
          <w:sz w:val="28"/>
        </w:rPr>
      </w:pPr>
      <w:r>
        <w:rPr>
          <w:rFonts w:ascii="Times New Roman" w:hAnsi="Times New Roman"/>
          <w:sz w:val="28"/>
        </w:rPr>
        <w:t>This document does not reflect any consensus or recommendations with respect to linking utility cost recovery to actual predictive re</w:t>
      </w:r>
      <w:r w:rsidR="00F53C79">
        <w:rPr>
          <w:rFonts w:ascii="Times New Roman" w:hAnsi="Times New Roman"/>
          <w:sz w:val="28"/>
        </w:rPr>
        <w:t>sults</w:t>
      </w:r>
    </w:p>
    <w:p w:rsidR="007E1617" w:rsidRPr="00371C4F" w:rsidRDefault="007E1617" w:rsidP="00371C4F">
      <w:pPr>
        <w:spacing w:before="240"/>
        <w:ind w:left="360"/>
        <w:rPr>
          <w:rFonts w:ascii="Times New Roman" w:hAnsi="Times New Roman"/>
          <w:b/>
          <w:i/>
          <w:sz w:val="28"/>
        </w:rPr>
      </w:pPr>
      <w:r w:rsidRPr="00371C4F">
        <w:rPr>
          <w:rFonts w:ascii="Times New Roman" w:hAnsi="Times New Roman"/>
          <w:b/>
          <w:i/>
          <w:sz w:val="28"/>
        </w:rPr>
        <w:t>Recommendations</w:t>
      </w:r>
    </w:p>
    <w:p w:rsidR="007E1617" w:rsidRPr="00DD0AE8" w:rsidRDefault="007E1617" w:rsidP="00371C4F">
      <w:pPr>
        <w:spacing w:before="240"/>
        <w:ind w:left="360"/>
        <w:rPr>
          <w:rFonts w:ascii="Times New Roman" w:hAnsi="Times New Roman"/>
          <w:sz w:val="28"/>
        </w:rPr>
      </w:pPr>
      <w:r w:rsidRPr="00DD0AE8">
        <w:rPr>
          <w:rFonts w:ascii="Times New Roman" w:hAnsi="Times New Roman"/>
          <w:sz w:val="28"/>
        </w:rPr>
        <w:t xml:space="preserve">The Commission should periodically evaluate if the projected costs and benefits associated with an approved </w:t>
      </w:r>
      <w:r w:rsidR="00EB6A36">
        <w:rPr>
          <w:rFonts w:ascii="Times New Roman" w:hAnsi="Times New Roman"/>
          <w:sz w:val="28"/>
        </w:rPr>
        <w:t>smart grid</w:t>
      </w:r>
      <w:r w:rsidRPr="00DD0AE8">
        <w:rPr>
          <w:rFonts w:ascii="Times New Roman" w:hAnsi="Times New Roman"/>
          <w:sz w:val="28"/>
        </w:rPr>
        <w:t xml:space="preserve"> investment are being realized for customers, the utility, society, and/or other stakeholders prior to approving similar future investments.  </w:t>
      </w:r>
    </w:p>
    <w:p w:rsidR="007E1617" w:rsidRPr="00DD0AE8" w:rsidRDefault="007E1617" w:rsidP="00371C4F">
      <w:pPr>
        <w:spacing w:before="240"/>
        <w:ind w:left="360"/>
        <w:rPr>
          <w:rFonts w:ascii="Times New Roman" w:hAnsi="Times New Roman"/>
          <w:sz w:val="28"/>
        </w:rPr>
      </w:pPr>
      <w:r w:rsidRPr="00DD0AE8">
        <w:rPr>
          <w:rFonts w:ascii="Times New Roman" w:hAnsi="Times New Roman"/>
          <w:sz w:val="28"/>
        </w:rPr>
        <w:t xml:space="preserve">The cost for monitoring and verification of benefits should be included as part of the investment/operations costs when evaluating the </w:t>
      </w:r>
      <w:r w:rsidR="00EB6A36">
        <w:rPr>
          <w:rFonts w:ascii="Times New Roman" w:hAnsi="Times New Roman"/>
          <w:sz w:val="28"/>
        </w:rPr>
        <w:t>smart grid</w:t>
      </w:r>
      <w:r w:rsidRPr="00DD0AE8">
        <w:rPr>
          <w:rFonts w:ascii="Times New Roman" w:hAnsi="Times New Roman"/>
          <w:sz w:val="28"/>
        </w:rPr>
        <w:t xml:space="preserve"> investment.</w:t>
      </w:r>
    </w:p>
    <w:p w:rsidR="007E1617" w:rsidRPr="00DD0AE8" w:rsidRDefault="007E1617" w:rsidP="00371C4F">
      <w:pPr>
        <w:spacing w:before="240"/>
        <w:ind w:left="360"/>
        <w:rPr>
          <w:rFonts w:ascii="Times New Roman" w:hAnsi="Times New Roman"/>
          <w:sz w:val="28"/>
        </w:rPr>
      </w:pPr>
      <w:r w:rsidRPr="00DD0AE8">
        <w:rPr>
          <w:rFonts w:ascii="Times New Roman" w:hAnsi="Times New Roman"/>
          <w:sz w:val="28"/>
        </w:rPr>
        <w:t>Large smart grid investments should be structured for implementation in time-phased stages</w:t>
      </w:r>
      <w:r w:rsidR="004F5026">
        <w:rPr>
          <w:rFonts w:ascii="Times New Roman" w:hAnsi="Times New Roman"/>
          <w:sz w:val="28"/>
        </w:rPr>
        <w:t>,</w:t>
      </w:r>
      <w:r w:rsidRPr="00DD0AE8">
        <w:rPr>
          <w:rFonts w:ascii="Times New Roman" w:hAnsi="Times New Roman"/>
          <w:sz w:val="28"/>
        </w:rPr>
        <w:t xml:space="preserve"> </w:t>
      </w:r>
      <w:r w:rsidR="004F5026">
        <w:rPr>
          <w:rFonts w:ascii="Times New Roman" w:hAnsi="Times New Roman"/>
          <w:sz w:val="28"/>
        </w:rPr>
        <w:t xml:space="preserve">for evaluation purposes, </w:t>
      </w:r>
      <w:r w:rsidRPr="00DD0AE8">
        <w:rPr>
          <w:rFonts w:ascii="Times New Roman" w:hAnsi="Times New Roman"/>
          <w:sz w:val="28"/>
        </w:rPr>
        <w:t xml:space="preserve">if doing so does not have a significant </w:t>
      </w:r>
      <w:r w:rsidRPr="00DD0AE8">
        <w:rPr>
          <w:rFonts w:ascii="Times New Roman" w:hAnsi="Times New Roman"/>
          <w:sz w:val="28"/>
        </w:rPr>
        <w:lastRenderedPageBreak/>
        <w:t xml:space="preserve">deleterious impact on the economic viability of the investment.  Structuring investments in this manner may facilitate the verification of benefits and </w:t>
      </w:r>
      <w:r w:rsidR="008C180D">
        <w:rPr>
          <w:rFonts w:ascii="Times New Roman" w:hAnsi="Times New Roman"/>
          <w:sz w:val="28"/>
        </w:rPr>
        <w:t>provide opportunities for cessation of investments</w:t>
      </w:r>
      <w:r w:rsidRPr="00DD0AE8">
        <w:rPr>
          <w:rFonts w:ascii="Times New Roman" w:hAnsi="Times New Roman"/>
          <w:sz w:val="28"/>
        </w:rPr>
        <w:t xml:space="preserve"> in the event that initial assumptions and estimates of cost/benefit prove to be </w:t>
      </w:r>
      <w:r w:rsidR="007671EC" w:rsidRPr="00DD0AE8">
        <w:rPr>
          <w:rFonts w:ascii="Times New Roman" w:hAnsi="Times New Roman"/>
          <w:sz w:val="28"/>
        </w:rPr>
        <w:t>inaccurate</w:t>
      </w:r>
      <w:r w:rsidR="007671EC">
        <w:rPr>
          <w:rFonts w:ascii="Times New Roman" w:hAnsi="Times New Roman"/>
          <w:sz w:val="28"/>
        </w:rPr>
        <w:t>;</w:t>
      </w:r>
      <w:r w:rsidR="00E2602E" w:rsidRPr="00DD0AE8">
        <w:rPr>
          <w:rFonts w:ascii="Times New Roman" w:hAnsi="Times New Roman"/>
          <w:sz w:val="28"/>
        </w:rPr>
        <w:t xml:space="preserve"> thereby minimizing the potential for future stranded investments</w:t>
      </w:r>
      <w:r w:rsidRPr="00DD0AE8">
        <w:rPr>
          <w:rFonts w:ascii="Times New Roman" w:hAnsi="Times New Roman"/>
          <w:sz w:val="28"/>
        </w:rPr>
        <w:t>.</w:t>
      </w:r>
    </w:p>
    <w:p w:rsidR="007E1617" w:rsidRDefault="007E1617" w:rsidP="00371C4F">
      <w:pPr>
        <w:spacing w:before="240"/>
        <w:ind w:left="360"/>
        <w:rPr>
          <w:rFonts w:ascii="Times New Roman" w:hAnsi="Times New Roman"/>
          <w:sz w:val="28"/>
        </w:rPr>
      </w:pPr>
      <w:r w:rsidRPr="00DD0AE8">
        <w:rPr>
          <w:rFonts w:ascii="Times New Roman" w:hAnsi="Times New Roman"/>
          <w:sz w:val="28"/>
        </w:rPr>
        <w:t xml:space="preserve">Post-implementation evaluations of smart grid investments should be based on the initial cost-benefit analysis </w:t>
      </w:r>
      <w:r w:rsidR="00B746B7">
        <w:rPr>
          <w:rFonts w:ascii="Times New Roman" w:hAnsi="Times New Roman"/>
          <w:sz w:val="28"/>
        </w:rPr>
        <w:t>approved by the Commission</w:t>
      </w:r>
      <w:r w:rsidRPr="00DD0AE8">
        <w:rPr>
          <w:rFonts w:ascii="Times New Roman" w:hAnsi="Times New Roman"/>
          <w:sz w:val="28"/>
        </w:rPr>
        <w:t>.</w:t>
      </w:r>
    </w:p>
    <w:p w:rsidR="00DB4197" w:rsidRPr="00DD0AE8" w:rsidRDefault="00DB4197" w:rsidP="00DB4197">
      <w:pPr>
        <w:spacing w:before="240"/>
        <w:rPr>
          <w:rFonts w:ascii="Times New Roman" w:hAnsi="Times New Roman"/>
          <w:sz w:val="28"/>
        </w:rPr>
      </w:pPr>
    </w:p>
    <w:sectPr w:rsidR="00DB4197" w:rsidRPr="00DD0AE8" w:rsidSect="003D6D01">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15" w:rsidRDefault="00755215">
      <w:r>
        <w:separator/>
      </w:r>
    </w:p>
  </w:endnote>
  <w:endnote w:type="continuationSeparator" w:id="0">
    <w:p w:rsidR="00755215" w:rsidRDefault="00755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79" w:rsidRDefault="00C41A74">
    <w:pPr>
      <w:pStyle w:val="Footer"/>
      <w:framePr w:wrap="around" w:vAnchor="text" w:hAnchor="margin" w:xAlign="right" w:y="1"/>
      <w:rPr>
        <w:rStyle w:val="PageNumber"/>
      </w:rPr>
    </w:pPr>
    <w:r>
      <w:rPr>
        <w:rStyle w:val="PageNumber"/>
      </w:rPr>
      <w:fldChar w:fldCharType="begin"/>
    </w:r>
    <w:r w:rsidR="00BD6679">
      <w:rPr>
        <w:rStyle w:val="PageNumber"/>
      </w:rPr>
      <w:instrText xml:space="preserve">PAGE  </w:instrText>
    </w:r>
    <w:r>
      <w:rPr>
        <w:rStyle w:val="PageNumber"/>
      </w:rPr>
      <w:fldChar w:fldCharType="end"/>
    </w:r>
  </w:p>
  <w:p w:rsidR="00BD6679" w:rsidRDefault="00BD66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79" w:rsidRDefault="00C41A74">
    <w:pPr>
      <w:pStyle w:val="Footer"/>
      <w:framePr w:wrap="around" w:vAnchor="text" w:hAnchor="page" w:x="5971" w:y="-60"/>
      <w:rPr>
        <w:rStyle w:val="PageNumber"/>
        <w:rFonts w:ascii="Times New Roman" w:hAnsi="Times New Roman"/>
      </w:rPr>
    </w:pPr>
    <w:r>
      <w:rPr>
        <w:rStyle w:val="PageNumber"/>
        <w:rFonts w:ascii="Times New Roman" w:hAnsi="Times New Roman"/>
      </w:rPr>
      <w:fldChar w:fldCharType="begin"/>
    </w:r>
    <w:r w:rsidR="00BD6679">
      <w:rPr>
        <w:rStyle w:val="PageNumber"/>
        <w:rFonts w:ascii="Times New Roman" w:hAnsi="Times New Roman"/>
      </w:rPr>
      <w:instrText xml:space="preserve">PAGE  </w:instrText>
    </w:r>
    <w:r>
      <w:rPr>
        <w:rStyle w:val="PageNumber"/>
        <w:rFonts w:ascii="Times New Roman" w:hAnsi="Times New Roman"/>
      </w:rPr>
      <w:fldChar w:fldCharType="separate"/>
    </w:r>
    <w:r w:rsidR="005B35B3">
      <w:rPr>
        <w:rStyle w:val="PageNumber"/>
        <w:rFonts w:ascii="Times New Roman" w:hAnsi="Times New Roman"/>
        <w:noProof/>
      </w:rPr>
      <w:t>1</w:t>
    </w:r>
    <w:r>
      <w:rPr>
        <w:rStyle w:val="PageNumber"/>
        <w:rFonts w:ascii="Times New Roman" w:hAnsi="Times New Roman"/>
      </w:rPr>
      <w:fldChar w:fldCharType="end"/>
    </w:r>
  </w:p>
  <w:p w:rsidR="00BD6679" w:rsidRDefault="00BD6679">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79" w:rsidRDefault="00C41A74">
    <w:pPr>
      <w:pStyle w:val="Footer"/>
      <w:jc w:val="center"/>
      <w:rPr>
        <w:rFonts w:ascii="Times New Roman" w:hAnsi="Times New Roman"/>
      </w:rPr>
    </w:pPr>
    <w:r>
      <w:rPr>
        <w:rFonts w:ascii="Times New Roman" w:hAnsi="Times New Roman"/>
      </w:rPr>
      <w:fldChar w:fldCharType="begin"/>
    </w:r>
    <w:r w:rsidR="00BD6679">
      <w:rPr>
        <w:rFonts w:ascii="Times New Roman" w:hAnsi="Times New Roman"/>
      </w:rPr>
      <w:instrText xml:space="preserve"> PAGE   \* MERGEFORMAT </w:instrText>
    </w:r>
    <w:r>
      <w:rPr>
        <w:rFonts w:ascii="Times New Roman" w:hAnsi="Times New Roman"/>
      </w:rPr>
      <w:fldChar w:fldCharType="separate"/>
    </w:r>
    <w:r w:rsidR="00BD6679">
      <w:rPr>
        <w:rFonts w:ascii="Times New Roman" w:hAnsi="Times New Roman"/>
        <w:noProof/>
      </w:rPr>
      <w:t>1</w:t>
    </w:r>
    <w:r>
      <w:rPr>
        <w:rFonts w:ascii="Times New Roman" w:hAnsi="Times New Roman"/>
      </w:rPr>
      <w:fldChar w:fldCharType="end"/>
    </w:r>
  </w:p>
  <w:p w:rsidR="00BD6679" w:rsidRDefault="00BD6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15" w:rsidRDefault="00755215">
      <w:r>
        <w:separator/>
      </w:r>
    </w:p>
  </w:footnote>
  <w:footnote w:type="continuationSeparator" w:id="0">
    <w:p w:rsidR="00755215" w:rsidRDefault="00755215">
      <w:r>
        <w:continuationSeparator/>
      </w:r>
    </w:p>
  </w:footnote>
  <w:footnote w:id="1">
    <w:p w:rsidR="00BD6679" w:rsidRDefault="00BD6679" w:rsidP="00FE1551">
      <w:pPr>
        <w:pStyle w:val="FootnoteText"/>
        <w:spacing w:after="0"/>
        <w:rPr>
          <w:rFonts w:ascii="Times New Roman" w:hAnsi="Times New Roman"/>
          <w:i/>
        </w:rPr>
      </w:pPr>
      <w:r>
        <w:rPr>
          <w:rStyle w:val="FootnoteReference"/>
        </w:rPr>
        <w:footnoteRef/>
      </w:r>
      <w:r>
        <w:t xml:space="preserve"> </w:t>
      </w:r>
      <w:r>
        <w:rPr>
          <w:rFonts w:ascii="Times New Roman" w:hAnsi="Times New Roman"/>
          <w:i/>
        </w:rPr>
        <w:t>Methodological Approach for Estimating the Benefits and Costs of Smart Grid Demonstration</w:t>
      </w:r>
    </w:p>
    <w:p w:rsidR="00BD6679" w:rsidRDefault="00BD6679" w:rsidP="00FE1551">
      <w:pPr>
        <w:pStyle w:val="FootnoteText"/>
        <w:spacing w:after="0"/>
        <w:rPr>
          <w:rFonts w:ascii="Times New Roman" w:hAnsi="Times New Roman"/>
        </w:rPr>
      </w:pPr>
      <w:r>
        <w:rPr>
          <w:rFonts w:ascii="Times New Roman" w:hAnsi="Times New Roman"/>
          <w:i/>
        </w:rPr>
        <w:t>Projects</w:t>
      </w:r>
      <w:r>
        <w:rPr>
          <w:rFonts w:ascii="Times New Roman" w:hAnsi="Times New Roman"/>
        </w:rPr>
        <w:t>. EPRI, Palo Alto, CA: 2010. 1020342.</w:t>
      </w:r>
    </w:p>
  </w:footnote>
  <w:footnote w:id="2">
    <w:p w:rsidR="00BD6679" w:rsidRDefault="00BD6679" w:rsidP="00FE1551">
      <w:pPr>
        <w:pStyle w:val="FootnoteText"/>
        <w:spacing w:after="120" w:line="240" w:lineRule="auto"/>
        <w:rPr>
          <w:rFonts w:ascii="Times New Roman" w:hAnsi="Times New Roman"/>
        </w:rPr>
      </w:pPr>
      <w:r>
        <w:rPr>
          <w:rStyle w:val="FootnoteReference"/>
        </w:rPr>
        <w:footnoteRef/>
      </w:r>
      <w:r>
        <w:t xml:space="preserve"> </w:t>
      </w:r>
      <w:r>
        <w:rPr>
          <w:rFonts w:ascii="Times New Roman" w:hAnsi="Times New Roman"/>
          <w:i/>
        </w:rPr>
        <w:t>Advanced Metering Infrastructure Example Project Valuation Model – Version 1.00</w:t>
      </w:r>
      <w:r>
        <w:rPr>
          <w:rFonts w:ascii="Times New Roman" w:hAnsi="Times New Roman"/>
        </w:rPr>
        <w:t>; McKinsey &amp; Company; August 7, 2006</w:t>
      </w:r>
    </w:p>
  </w:footnote>
  <w:footnote w:id="3">
    <w:p w:rsidR="00BD6679" w:rsidRDefault="00BD6679" w:rsidP="00FE1551">
      <w:pPr>
        <w:autoSpaceDE w:val="0"/>
        <w:autoSpaceDN w:val="0"/>
        <w:adjustRightInd w:val="0"/>
        <w:spacing w:after="120" w:line="240" w:lineRule="auto"/>
        <w:rPr>
          <w:rFonts w:ascii="Times New Roman" w:hAnsi="Times New Roman"/>
          <w:sz w:val="20"/>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 xml:space="preserve">Blazewicz, Stan, Gene Shlatz, Forrest Small, Steven Tobias, and Jacquelyn Bean (Navigant Consulting, Inc.). 2008. </w:t>
      </w:r>
      <w:r>
        <w:rPr>
          <w:rFonts w:ascii="Times New Roman" w:hAnsi="Times New Roman"/>
          <w:i/>
          <w:sz w:val="20"/>
        </w:rPr>
        <w:t>The Value of Distribution Automation</w:t>
      </w:r>
      <w:r>
        <w:rPr>
          <w:rFonts w:ascii="Times New Roman" w:hAnsi="Times New Roman"/>
          <w:sz w:val="20"/>
        </w:rPr>
        <w:t>. California Energy Commission, PIER Energy Systems Integration Program. CEC</w:t>
      </w:r>
      <w:r>
        <w:rPr>
          <w:rFonts w:ascii="Cambria Math" w:hAnsi="Cambria Math"/>
          <w:sz w:val="20"/>
        </w:rPr>
        <w:t>‐</w:t>
      </w:r>
      <w:r>
        <w:rPr>
          <w:rFonts w:ascii="Times New Roman" w:hAnsi="Times New Roman"/>
          <w:sz w:val="20"/>
        </w:rPr>
        <w:t>500</w:t>
      </w:r>
      <w:r>
        <w:rPr>
          <w:rFonts w:ascii="Cambria Math" w:hAnsi="Cambria Math"/>
          <w:sz w:val="20"/>
        </w:rPr>
        <w:t>‐</w:t>
      </w:r>
      <w:r>
        <w:rPr>
          <w:rFonts w:ascii="Times New Roman" w:hAnsi="Times New Roman"/>
          <w:sz w:val="20"/>
        </w:rPr>
        <w:t>2007</w:t>
      </w:r>
      <w:r>
        <w:rPr>
          <w:rFonts w:ascii="Cambria Math" w:hAnsi="Cambria Math"/>
          <w:sz w:val="20"/>
        </w:rPr>
        <w:t>‐</w:t>
      </w:r>
      <w:r>
        <w:rPr>
          <w:rFonts w:ascii="Times New Roman" w:hAnsi="Times New Roman"/>
          <w:sz w:val="20"/>
        </w:rPr>
        <w:t>103.</w:t>
      </w:r>
    </w:p>
  </w:footnote>
  <w:footnote w:id="4">
    <w:p w:rsidR="00BD6679" w:rsidRDefault="00BD6679" w:rsidP="00FE1551">
      <w:pPr>
        <w:autoSpaceDE w:val="0"/>
        <w:autoSpaceDN w:val="0"/>
        <w:adjustRightInd w:val="0"/>
        <w:spacing w:after="120" w:line="240" w:lineRule="auto"/>
        <w:rPr>
          <w:rFonts w:ascii="Times New Roman" w:hAnsi="Times New Roman"/>
          <w:sz w:val="20"/>
        </w:rPr>
      </w:pPr>
      <w:r>
        <w:rPr>
          <w:rStyle w:val="FootnoteReference"/>
        </w:rPr>
        <w:footnoteRef/>
      </w:r>
      <w:r>
        <w:t xml:space="preserve"> </w:t>
      </w:r>
      <w:r>
        <w:rPr>
          <w:rFonts w:ascii="Times New Roman" w:hAnsi="Times New Roman"/>
          <w:i/>
          <w:sz w:val="20"/>
        </w:rPr>
        <w:t xml:space="preserve">Characterizing and Quantifying the Societal Benefits Attributable to Smart Metering Investments. </w:t>
      </w:r>
      <w:r>
        <w:rPr>
          <w:rFonts w:ascii="Times New Roman" w:hAnsi="Times New Roman"/>
          <w:sz w:val="20"/>
        </w:rPr>
        <w:t>EPRI, Palo Alto, CA: 2008. 1017006.</w:t>
      </w:r>
    </w:p>
  </w:footnote>
  <w:footnote w:id="5">
    <w:p w:rsidR="00BD6679" w:rsidRDefault="00BD6679" w:rsidP="00FE1551">
      <w:pPr>
        <w:pStyle w:val="FootnoteText"/>
        <w:spacing w:after="120" w:line="240" w:lineRule="auto"/>
        <w:rPr>
          <w:rFonts w:ascii="Times New Roman" w:hAnsi="Times New Roman"/>
          <w:i/>
        </w:rPr>
      </w:pPr>
      <w:r>
        <w:rPr>
          <w:rStyle w:val="FootnoteReference"/>
        </w:rPr>
        <w:footnoteRef/>
      </w:r>
      <w:r>
        <w:t xml:space="preserve"> </w:t>
      </w:r>
      <w:r>
        <w:rPr>
          <w:rFonts w:ascii="Times New Roman" w:hAnsi="Times New Roman"/>
        </w:rPr>
        <w:t>Sullivan, Michael; Mercurio, Matthew; Schellenberg, Josh; Freeman, Sullivan &amp; Co. “</w:t>
      </w:r>
      <w:r>
        <w:rPr>
          <w:rFonts w:ascii="Times New Roman" w:hAnsi="Times New Roman"/>
          <w:i/>
        </w:rPr>
        <w:t>Estimated Value of Service Reliability for Electric Utility Customers in the United States</w:t>
      </w:r>
      <w:r>
        <w:rPr>
          <w:rFonts w:ascii="Times New Roman" w:hAnsi="Times New Roman"/>
        </w:rPr>
        <w:t>,” prepared for the U.S. Department of Energy Office</w:t>
      </w:r>
      <w:r>
        <w:rPr>
          <w:rFonts w:ascii="Times New Roman" w:hAnsi="Times New Roman"/>
          <w:i/>
        </w:rPr>
        <w:t xml:space="preserve"> </w:t>
      </w:r>
      <w:r>
        <w:rPr>
          <w:rFonts w:ascii="Times New Roman" w:hAnsi="Times New Roman"/>
        </w:rPr>
        <w:t>of Electricity Delivery and Energy Reliability, LBNL-2132E June 2009.</w:t>
      </w:r>
    </w:p>
  </w:footnote>
  <w:footnote w:id="6">
    <w:p w:rsidR="00BD6679" w:rsidRDefault="00BD6679" w:rsidP="00FE1551">
      <w:pPr>
        <w:pStyle w:val="FootnoteText"/>
      </w:pPr>
      <w:r>
        <w:rPr>
          <w:rStyle w:val="FootnoteReference"/>
        </w:rPr>
        <w:footnoteRef/>
      </w:r>
      <w:r>
        <w:t xml:space="preserve"> </w:t>
      </w:r>
      <w:r>
        <w:rPr>
          <w:rFonts w:ascii="Times New Roman" w:hAnsi="Times New Roman"/>
        </w:rPr>
        <w:t xml:space="preserve">Brattle Group. </w:t>
      </w:r>
      <w:r>
        <w:rPr>
          <w:rFonts w:ascii="Times New Roman" w:hAnsi="Times New Roman"/>
          <w:i/>
        </w:rPr>
        <w:t>Quantifying Demand Response Benefits in PJM,</w:t>
      </w:r>
      <w:r>
        <w:rPr>
          <w:rFonts w:ascii="Times New Roman" w:hAnsi="Times New Roman"/>
        </w:rPr>
        <w:t xml:space="preserve"> prepared for PJM Interconnection, LLC and the Mid-Atlantic Distributed Resources Initiative (MADRI), January 29, 2007.</w:t>
      </w:r>
    </w:p>
  </w:footnote>
  <w:footnote w:id="7">
    <w:p w:rsidR="00BD6679" w:rsidRDefault="00BD6679" w:rsidP="005B3F81">
      <w:pPr>
        <w:pStyle w:val="FootnoteText"/>
        <w:rPr>
          <w:rFonts w:ascii="Times New Roman" w:hAnsi="Times New Roman"/>
        </w:rPr>
      </w:pPr>
      <w:r>
        <w:rPr>
          <w:rStyle w:val="FootnoteReference"/>
        </w:rPr>
        <w:footnoteRef/>
      </w:r>
      <w:r>
        <w:t xml:space="preserve"> </w:t>
      </w:r>
      <w:r>
        <w:rPr>
          <w:rFonts w:ascii="Times New Roman" w:hAnsi="Times New Roman"/>
          <w:i/>
        </w:rPr>
        <w:t>Methodological Approach for Estimating the Benefits and Costs of Smart Grid Demonstration Projects</w:t>
      </w:r>
      <w:r>
        <w:rPr>
          <w:rFonts w:ascii="Times New Roman" w:hAnsi="Times New Roman"/>
        </w:rPr>
        <w:t>; EPRI, Palo Alto, CA: 2010. 1020342; p.4-24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79" w:rsidRDefault="00BD6679">
    <w:pPr>
      <w:pStyle w:val="Header"/>
      <w:jc w:val="right"/>
      <w:rPr>
        <w:b/>
        <w:color w:val="FF0000"/>
        <w:sz w:val="24"/>
      </w:rPr>
    </w:pPr>
    <w:r>
      <w:rPr>
        <w:b/>
        <w:color w:val="FF0000"/>
        <w:sz w:val="24"/>
      </w:rPr>
      <w:t>--DRAFT--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79" w:rsidRDefault="00BD6679">
    <w:pPr>
      <w:pStyle w:val="Header"/>
      <w:jc w:val="right"/>
      <w:rPr>
        <w:b/>
        <w:color w:val="FF0000"/>
        <w:sz w:val="24"/>
      </w:rPr>
    </w:pPr>
    <w:r>
      <w:rPr>
        <w:b/>
        <w:color w:val="FF0000"/>
        <w:sz w:val="24"/>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0D5C"/>
    <w:multiLevelType w:val="multilevel"/>
    <w:tmpl w:val="6EFE6306"/>
    <w:lvl w:ilvl="0">
      <w:start w:val="1"/>
      <w:numFmt w:val="decimal"/>
      <w:lvlText w:val="%1."/>
      <w:lvlJc w:val="left"/>
      <w:pPr>
        <w:ind w:left="360" w:hanging="360"/>
      </w:pPr>
      <w:rPr>
        <w:rFonts w:hint="default"/>
        <w:b w:val="0"/>
        <w:i w:val="0"/>
        <w:color w:val="auto"/>
        <w:sz w:val="24"/>
        <w:szCs w:val="24"/>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decimal"/>
      <w:lvlText w:val="%5."/>
      <w:lvlJc w:val="left"/>
      <w:pPr>
        <w:ind w:left="1800" w:hanging="360"/>
      </w:pPr>
      <w:rPr>
        <w:rFonts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114084"/>
    <w:multiLevelType w:val="hybridMultilevel"/>
    <w:tmpl w:val="9FB2E9F8"/>
    <w:lvl w:ilvl="0" w:tplc="033C5C24">
      <w:start w:val="1"/>
      <w:numFmt w:val="decimal"/>
      <w:lvlText w:val="%1)"/>
      <w:lvlJc w:val="left"/>
      <w:pPr>
        <w:ind w:left="1080" w:hanging="360"/>
      </w:pPr>
      <w:rPr>
        <w:rFonts w:ascii="Calibri" w:hAnsi="Calibr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A4957"/>
    <w:multiLevelType w:val="hybridMultilevel"/>
    <w:tmpl w:val="B8C4DF58"/>
    <w:lvl w:ilvl="0" w:tplc="8F3A3B28">
      <w:start w:val="1"/>
      <w:numFmt w:val="bullet"/>
      <w:lvlText w:val=""/>
      <w:lvlJc w:val="left"/>
      <w:pPr>
        <w:tabs>
          <w:tab w:val="num" w:pos="720"/>
        </w:tabs>
        <w:ind w:left="720" w:hanging="360"/>
      </w:pPr>
      <w:rPr>
        <w:rFonts w:ascii="Wingdings" w:hAnsi="Wingdings" w:hint="default"/>
      </w:rPr>
    </w:lvl>
    <w:lvl w:ilvl="1" w:tplc="EC96C046">
      <w:start w:val="1"/>
      <w:numFmt w:val="bullet"/>
      <w:lvlText w:val=""/>
      <w:lvlJc w:val="left"/>
      <w:pPr>
        <w:tabs>
          <w:tab w:val="num" w:pos="1440"/>
        </w:tabs>
        <w:ind w:left="1440" w:hanging="360"/>
      </w:pPr>
      <w:rPr>
        <w:rFonts w:ascii="Wingdings" w:hAnsi="Wingdings" w:hint="default"/>
      </w:rPr>
    </w:lvl>
    <w:lvl w:ilvl="2" w:tplc="CAB03C6C">
      <w:start w:val="1774"/>
      <w:numFmt w:val="bullet"/>
      <w:lvlText w:val=""/>
      <w:lvlJc w:val="left"/>
      <w:pPr>
        <w:tabs>
          <w:tab w:val="num" w:pos="2160"/>
        </w:tabs>
        <w:ind w:left="2160" w:hanging="360"/>
      </w:pPr>
      <w:rPr>
        <w:rFonts w:ascii="Wingdings" w:hAnsi="Wingdings" w:hint="default"/>
      </w:rPr>
    </w:lvl>
    <w:lvl w:ilvl="3" w:tplc="4DC84B1E">
      <w:start w:val="1774"/>
      <w:numFmt w:val="bullet"/>
      <w:lvlText w:val="–"/>
      <w:lvlJc w:val="left"/>
      <w:pPr>
        <w:tabs>
          <w:tab w:val="num" w:pos="2880"/>
        </w:tabs>
        <w:ind w:left="2880" w:hanging="360"/>
      </w:pPr>
      <w:rPr>
        <w:rFonts w:ascii="Calibri" w:hAnsi="Calibri" w:hint="default"/>
      </w:rPr>
    </w:lvl>
    <w:lvl w:ilvl="4" w:tplc="2B1E7228" w:tentative="1">
      <w:start w:val="1"/>
      <w:numFmt w:val="bullet"/>
      <w:lvlText w:val=""/>
      <w:lvlJc w:val="left"/>
      <w:pPr>
        <w:tabs>
          <w:tab w:val="num" w:pos="3600"/>
        </w:tabs>
        <w:ind w:left="3600" w:hanging="360"/>
      </w:pPr>
      <w:rPr>
        <w:rFonts w:ascii="Wingdings" w:hAnsi="Wingdings" w:hint="default"/>
      </w:rPr>
    </w:lvl>
    <w:lvl w:ilvl="5" w:tplc="EE386542" w:tentative="1">
      <w:start w:val="1"/>
      <w:numFmt w:val="bullet"/>
      <w:lvlText w:val=""/>
      <w:lvlJc w:val="left"/>
      <w:pPr>
        <w:tabs>
          <w:tab w:val="num" w:pos="4320"/>
        </w:tabs>
        <w:ind w:left="4320" w:hanging="360"/>
      </w:pPr>
      <w:rPr>
        <w:rFonts w:ascii="Wingdings" w:hAnsi="Wingdings" w:hint="default"/>
      </w:rPr>
    </w:lvl>
    <w:lvl w:ilvl="6" w:tplc="03E6DC02" w:tentative="1">
      <w:start w:val="1"/>
      <w:numFmt w:val="bullet"/>
      <w:lvlText w:val=""/>
      <w:lvlJc w:val="left"/>
      <w:pPr>
        <w:tabs>
          <w:tab w:val="num" w:pos="5040"/>
        </w:tabs>
        <w:ind w:left="5040" w:hanging="360"/>
      </w:pPr>
      <w:rPr>
        <w:rFonts w:ascii="Wingdings" w:hAnsi="Wingdings" w:hint="default"/>
      </w:rPr>
    </w:lvl>
    <w:lvl w:ilvl="7" w:tplc="DC08B74C" w:tentative="1">
      <w:start w:val="1"/>
      <w:numFmt w:val="bullet"/>
      <w:lvlText w:val=""/>
      <w:lvlJc w:val="left"/>
      <w:pPr>
        <w:tabs>
          <w:tab w:val="num" w:pos="5760"/>
        </w:tabs>
        <w:ind w:left="5760" w:hanging="360"/>
      </w:pPr>
      <w:rPr>
        <w:rFonts w:ascii="Wingdings" w:hAnsi="Wingdings" w:hint="default"/>
      </w:rPr>
    </w:lvl>
    <w:lvl w:ilvl="8" w:tplc="507ADCCA" w:tentative="1">
      <w:start w:val="1"/>
      <w:numFmt w:val="bullet"/>
      <w:lvlText w:val=""/>
      <w:lvlJc w:val="left"/>
      <w:pPr>
        <w:tabs>
          <w:tab w:val="num" w:pos="6480"/>
        </w:tabs>
        <w:ind w:left="6480" w:hanging="360"/>
      </w:pPr>
      <w:rPr>
        <w:rFonts w:ascii="Wingdings" w:hAnsi="Wingdings" w:hint="default"/>
      </w:rPr>
    </w:lvl>
  </w:abstractNum>
  <w:abstractNum w:abstractNumId="3">
    <w:nsid w:val="20D83783"/>
    <w:multiLevelType w:val="multilevel"/>
    <w:tmpl w:val="BD68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08D5D3D"/>
    <w:multiLevelType w:val="hybridMultilevel"/>
    <w:tmpl w:val="5A981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45FC5"/>
    <w:multiLevelType w:val="multilevel"/>
    <w:tmpl w:val="B2B8BA38"/>
    <w:lvl w:ilvl="0">
      <w:start w:val="1"/>
      <w:numFmt w:val="decimal"/>
      <w:lvlText w:val="%1."/>
      <w:lvlJc w:val="left"/>
      <w:pPr>
        <w:ind w:left="360" w:hanging="360"/>
      </w:pPr>
      <w:rPr>
        <w:rFonts w:hint="default"/>
        <w:b w:val="0"/>
        <w:i w:val="0"/>
        <w:color w:val="auto"/>
        <w:sz w:val="24"/>
        <w:szCs w:val="24"/>
      </w:rPr>
    </w:lvl>
    <w:lvl w:ilvl="1">
      <w:start w:val="1"/>
      <w:numFmt w:val="lowerLetter"/>
      <w:lvlText w:val="%2)"/>
      <w:lvlJc w:val="left"/>
      <w:pPr>
        <w:ind w:left="720" w:hanging="360"/>
      </w:pPr>
      <w:rPr>
        <w:rFonts w:hint="default"/>
        <w:b w:val="0"/>
        <w:i w:val="0"/>
      </w:rPr>
    </w:lvl>
    <w:lvl w:ilvl="2">
      <w:start w:val="1774"/>
      <w:numFmt w:val="bullet"/>
      <w:lvlText w:val=""/>
      <w:lvlJc w:val="left"/>
      <w:pPr>
        <w:ind w:left="1080" w:hanging="360"/>
      </w:pPr>
      <w:rPr>
        <w:rFonts w:ascii="Wingdings" w:hAnsi="Wingdings" w:hint="default"/>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4D97FC0"/>
    <w:multiLevelType w:val="hybridMultilevel"/>
    <w:tmpl w:val="601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2808"/>
    <w:rsid w:val="00000405"/>
    <w:rsid w:val="00012446"/>
    <w:rsid w:val="00013A4C"/>
    <w:rsid w:val="000165A1"/>
    <w:rsid w:val="0006041F"/>
    <w:rsid w:val="00061AE1"/>
    <w:rsid w:val="000706D0"/>
    <w:rsid w:val="00075288"/>
    <w:rsid w:val="000815FD"/>
    <w:rsid w:val="00083BDD"/>
    <w:rsid w:val="00085C32"/>
    <w:rsid w:val="000905BC"/>
    <w:rsid w:val="0009576D"/>
    <w:rsid w:val="000A125F"/>
    <w:rsid w:val="000A4F87"/>
    <w:rsid w:val="000A7C63"/>
    <w:rsid w:val="000B21F1"/>
    <w:rsid w:val="000B36C3"/>
    <w:rsid w:val="000B444B"/>
    <w:rsid w:val="000C7A34"/>
    <w:rsid w:val="000D3F3B"/>
    <w:rsid w:val="000D4ECB"/>
    <w:rsid w:val="000E5936"/>
    <w:rsid w:val="000F0BD2"/>
    <w:rsid w:val="000F2795"/>
    <w:rsid w:val="000F2E7D"/>
    <w:rsid w:val="000F7CB0"/>
    <w:rsid w:val="00100AF6"/>
    <w:rsid w:val="00103F60"/>
    <w:rsid w:val="00150B8C"/>
    <w:rsid w:val="001550A3"/>
    <w:rsid w:val="0015607C"/>
    <w:rsid w:val="00166638"/>
    <w:rsid w:val="001720B2"/>
    <w:rsid w:val="00187D8F"/>
    <w:rsid w:val="001A4F1A"/>
    <w:rsid w:val="001A5C67"/>
    <w:rsid w:val="001A6FDB"/>
    <w:rsid w:val="001A7666"/>
    <w:rsid w:val="001B0F50"/>
    <w:rsid w:val="001B298E"/>
    <w:rsid w:val="001C29CC"/>
    <w:rsid w:val="001D72DC"/>
    <w:rsid w:val="001E515A"/>
    <w:rsid w:val="001E7E03"/>
    <w:rsid w:val="001F40E0"/>
    <w:rsid w:val="00206F1D"/>
    <w:rsid w:val="0023005A"/>
    <w:rsid w:val="00240BC7"/>
    <w:rsid w:val="0025311C"/>
    <w:rsid w:val="00262719"/>
    <w:rsid w:val="00264308"/>
    <w:rsid w:val="002674B4"/>
    <w:rsid w:val="00276B49"/>
    <w:rsid w:val="00291A2F"/>
    <w:rsid w:val="002B6369"/>
    <w:rsid w:val="002D3243"/>
    <w:rsid w:val="002E4B29"/>
    <w:rsid w:val="002F369C"/>
    <w:rsid w:val="002F7FC2"/>
    <w:rsid w:val="00315B1B"/>
    <w:rsid w:val="00317796"/>
    <w:rsid w:val="00321063"/>
    <w:rsid w:val="00323857"/>
    <w:rsid w:val="00324888"/>
    <w:rsid w:val="0032641C"/>
    <w:rsid w:val="003300BF"/>
    <w:rsid w:val="00332CE1"/>
    <w:rsid w:val="00337165"/>
    <w:rsid w:val="00343249"/>
    <w:rsid w:val="00350DF2"/>
    <w:rsid w:val="00351180"/>
    <w:rsid w:val="00351CD6"/>
    <w:rsid w:val="00360058"/>
    <w:rsid w:val="00360438"/>
    <w:rsid w:val="00362F27"/>
    <w:rsid w:val="00371529"/>
    <w:rsid w:val="00371C4F"/>
    <w:rsid w:val="00375763"/>
    <w:rsid w:val="003901BB"/>
    <w:rsid w:val="00394973"/>
    <w:rsid w:val="003A42CF"/>
    <w:rsid w:val="003A4F8F"/>
    <w:rsid w:val="003B6AC3"/>
    <w:rsid w:val="003C0C08"/>
    <w:rsid w:val="003C22BD"/>
    <w:rsid w:val="003D6D01"/>
    <w:rsid w:val="003F1482"/>
    <w:rsid w:val="003F5041"/>
    <w:rsid w:val="004006F3"/>
    <w:rsid w:val="00417EBA"/>
    <w:rsid w:val="0042248C"/>
    <w:rsid w:val="00432343"/>
    <w:rsid w:val="00432535"/>
    <w:rsid w:val="00433AFF"/>
    <w:rsid w:val="004349C0"/>
    <w:rsid w:val="0044525B"/>
    <w:rsid w:val="00456A5E"/>
    <w:rsid w:val="00481363"/>
    <w:rsid w:val="00481B25"/>
    <w:rsid w:val="004829EE"/>
    <w:rsid w:val="0049442B"/>
    <w:rsid w:val="004972EB"/>
    <w:rsid w:val="004B6E47"/>
    <w:rsid w:val="004C0410"/>
    <w:rsid w:val="004C7940"/>
    <w:rsid w:val="004D1F07"/>
    <w:rsid w:val="004D3D69"/>
    <w:rsid w:val="004E6B22"/>
    <w:rsid w:val="004F5026"/>
    <w:rsid w:val="0050100E"/>
    <w:rsid w:val="005010C8"/>
    <w:rsid w:val="00506B2B"/>
    <w:rsid w:val="00506D52"/>
    <w:rsid w:val="00507A29"/>
    <w:rsid w:val="005239F1"/>
    <w:rsid w:val="00525FE1"/>
    <w:rsid w:val="00535AEC"/>
    <w:rsid w:val="005379D6"/>
    <w:rsid w:val="00540380"/>
    <w:rsid w:val="0056248A"/>
    <w:rsid w:val="00563533"/>
    <w:rsid w:val="00571A25"/>
    <w:rsid w:val="005757D1"/>
    <w:rsid w:val="0059199D"/>
    <w:rsid w:val="00591A6B"/>
    <w:rsid w:val="005A1E40"/>
    <w:rsid w:val="005A64D2"/>
    <w:rsid w:val="005B048B"/>
    <w:rsid w:val="005B35B3"/>
    <w:rsid w:val="005B3F81"/>
    <w:rsid w:val="005B4EA9"/>
    <w:rsid w:val="005C4A97"/>
    <w:rsid w:val="005C5AB5"/>
    <w:rsid w:val="005D5A08"/>
    <w:rsid w:val="005E0A96"/>
    <w:rsid w:val="005F7491"/>
    <w:rsid w:val="006011F5"/>
    <w:rsid w:val="00616412"/>
    <w:rsid w:val="00641AB5"/>
    <w:rsid w:val="00641FF3"/>
    <w:rsid w:val="00663B5A"/>
    <w:rsid w:val="006646AE"/>
    <w:rsid w:val="006728F9"/>
    <w:rsid w:val="00674D4D"/>
    <w:rsid w:val="00690B85"/>
    <w:rsid w:val="006A531E"/>
    <w:rsid w:val="006B1528"/>
    <w:rsid w:val="006D01C2"/>
    <w:rsid w:val="006D04C1"/>
    <w:rsid w:val="006F5998"/>
    <w:rsid w:val="006F6093"/>
    <w:rsid w:val="006F61DC"/>
    <w:rsid w:val="00700B4E"/>
    <w:rsid w:val="00700F6F"/>
    <w:rsid w:val="00701831"/>
    <w:rsid w:val="00704AE1"/>
    <w:rsid w:val="00706462"/>
    <w:rsid w:val="0071263C"/>
    <w:rsid w:val="0071486A"/>
    <w:rsid w:val="00736BFD"/>
    <w:rsid w:val="007375C0"/>
    <w:rsid w:val="00742F39"/>
    <w:rsid w:val="00752C30"/>
    <w:rsid w:val="0075398B"/>
    <w:rsid w:val="00755215"/>
    <w:rsid w:val="00756873"/>
    <w:rsid w:val="007614F1"/>
    <w:rsid w:val="00763B47"/>
    <w:rsid w:val="007650BA"/>
    <w:rsid w:val="0076514B"/>
    <w:rsid w:val="007671EC"/>
    <w:rsid w:val="00795623"/>
    <w:rsid w:val="007A3ECC"/>
    <w:rsid w:val="007C6297"/>
    <w:rsid w:val="007C6D33"/>
    <w:rsid w:val="007D0386"/>
    <w:rsid w:val="007D09EE"/>
    <w:rsid w:val="007D2F83"/>
    <w:rsid w:val="007D4C6C"/>
    <w:rsid w:val="007E1617"/>
    <w:rsid w:val="007F2265"/>
    <w:rsid w:val="007F4A04"/>
    <w:rsid w:val="007F5AE3"/>
    <w:rsid w:val="00800A91"/>
    <w:rsid w:val="00806E80"/>
    <w:rsid w:val="0081108C"/>
    <w:rsid w:val="00814BA1"/>
    <w:rsid w:val="008617E5"/>
    <w:rsid w:val="008671A1"/>
    <w:rsid w:val="008829D4"/>
    <w:rsid w:val="00887D7E"/>
    <w:rsid w:val="00896CEE"/>
    <w:rsid w:val="008A06E8"/>
    <w:rsid w:val="008B0184"/>
    <w:rsid w:val="008B5862"/>
    <w:rsid w:val="008C0D90"/>
    <w:rsid w:val="008C180D"/>
    <w:rsid w:val="008C196A"/>
    <w:rsid w:val="008D199A"/>
    <w:rsid w:val="008D1FE3"/>
    <w:rsid w:val="008D20F3"/>
    <w:rsid w:val="008D22FE"/>
    <w:rsid w:val="008E74AF"/>
    <w:rsid w:val="008F53EE"/>
    <w:rsid w:val="00900D2C"/>
    <w:rsid w:val="00903095"/>
    <w:rsid w:val="0090333F"/>
    <w:rsid w:val="00904D5D"/>
    <w:rsid w:val="0091169C"/>
    <w:rsid w:val="00912E6D"/>
    <w:rsid w:val="00914CDB"/>
    <w:rsid w:val="00917303"/>
    <w:rsid w:val="00917E87"/>
    <w:rsid w:val="00933060"/>
    <w:rsid w:val="00936F67"/>
    <w:rsid w:val="009400CC"/>
    <w:rsid w:val="00955911"/>
    <w:rsid w:val="009577A7"/>
    <w:rsid w:val="00957E3A"/>
    <w:rsid w:val="0096380E"/>
    <w:rsid w:val="00974FE0"/>
    <w:rsid w:val="0098026D"/>
    <w:rsid w:val="00984FB5"/>
    <w:rsid w:val="00991A58"/>
    <w:rsid w:val="009A21D0"/>
    <w:rsid w:val="009A4F3B"/>
    <w:rsid w:val="009A64F7"/>
    <w:rsid w:val="009C3D79"/>
    <w:rsid w:val="009D3D31"/>
    <w:rsid w:val="009D5372"/>
    <w:rsid w:val="009D6106"/>
    <w:rsid w:val="009E1F2E"/>
    <w:rsid w:val="009E21F5"/>
    <w:rsid w:val="009E3227"/>
    <w:rsid w:val="009E4749"/>
    <w:rsid w:val="009F1DE8"/>
    <w:rsid w:val="009F3750"/>
    <w:rsid w:val="00A02EAB"/>
    <w:rsid w:val="00A03600"/>
    <w:rsid w:val="00A14890"/>
    <w:rsid w:val="00A1613F"/>
    <w:rsid w:val="00A27518"/>
    <w:rsid w:val="00A32480"/>
    <w:rsid w:val="00A357BC"/>
    <w:rsid w:val="00A40CFF"/>
    <w:rsid w:val="00A55ACA"/>
    <w:rsid w:val="00A677C0"/>
    <w:rsid w:val="00A71153"/>
    <w:rsid w:val="00A82FAF"/>
    <w:rsid w:val="00A85EC2"/>
    <w:rsid w:val="00A91117"/>
    <w:rsid w:val="00AA0D49"/>
    <w:rsid w:val="00AA71FF"/>
    <w:rsid w:val="00AB2210"/>
    <w:rsid w:val="00AC690D"/>
    <w:rsid w:val="00AC7E76"/>
    <w:rsid w:val="00AE4868"/>
    <w:rsid w:val="00AF5B9A"/>
    <w:rsid w:val="00B07A5F"/>
    <w:rsid w:val="00B1402F"/>
    <w:rsid w:val="00B338DB"/>
    <w:rsid w:val="00B414B8"/>
    <w:rsid w:val="00B41C6F"/>
    <w:rsid w:val="00B5739D"/>
    <w:rsid w:val="00B63B9E"/>
    <w:rsid w:val="00B667F4"/>
    <w:rsid w:val="00B72E08"/>
    <w:rsid w:val="00B73927"/>
    <w:rsid w:val="00B746B7"/>
    <w:rsid w:val="00B94697"/>
    <w:rsid w:val="00BA0474"/>
    <w:rsid w:val="00BB48DD"/>
    <w:rsid w:val="00BB5025"/>
    <w:rsid w:val="00BB6A57"/>
    <w:rsid w:val="00BB7A47"/>
    <w:rsid w:val="00BC0223"/>
    <w:rsid w:val="00BC2BDA"/>
    <w:rsid w:val="00BD0098"/>
    <w:rsid w:val="00BD3AE2"/>
    <w:rsid w:val="00BD40A7"/>
    <w:rsid w:val="00BD6679"/>
    <w:rsid w:val="00C062D2"/>
    <w:rsid w:val="00C22DAD"/>
    <w:rsid w:val="00C3449B"/>
    <w:rsid w:val="00C41A74"/>
    <w:rsid w:val="00C46749"/>
    <w:rsid w:val="00C50358"/>
    <w:rsid w:val="00C53586"/>
    <w:rsid w:val="00C541A5"/>
    <w:rsid w:val="00C63843"/>
    <w:rsid w:val="00C662E8"/>
    <w:rsid w:val="00C720D0"/>
    <w:rsid w:val="00C7211F"/>
    <w:rsid w:val="00C7709D"/>
    <w:rsid w:val="00C83469"/>
    <w:rsid w:val="00C867AD"/>
    <w:rsid w:val="00C91124"/>
    <w:rsid w:val="00CA1740"/>
    <w:rsid w:val="00CB1B78"/>
    <w:rsid w:val="00CC6442"/>
    <w:rsid w:val="00CC656A"/>
    <w:rsid w:val="00CD2808"/>
    <w:rsid w:val="00CE02A8"/>
    <w:rsid w:val="00D00BC4"/>
    <w:rsid w:val="00D019B9"/>
    <w:rsid w:val="00D0392A"/>
    <w:rsid w:val="00D05DFD"/>
    <w:rsid w:val="00D17A9F"/>
    <w:rsid w:val="00D2334F"/>
    <w:rsid w:val="00D244FA"/>
    <w:rsid w:val="00D24E2A"/>
    <w:rsid w:val="00D27954"/>
    <w:rsid w:val="00D328EB"/>
    <w:rsid w:val="00D33653"/>
    <w:rsid w:val="00D34A90"/>
    <w:rsid w:val="00D36372"/>
    <w:rsid w:val="00D4196E"/>
    <w:rsid w:val="00D41F92"/>
    <w:rsid w:val="00D87AC7"/>
    <w:rsid w:val="00D93DDD"/>
    <w:rsid w:val="00DB1B6D"/>
    <w:rsid w:val="00DB4197"/>
    <w:rsid w:val="00DB4BE7"/>
    <w:rsid w:val="00DB641E"/>
    <w:rsid w:val="00DC17B0"/>
    <w:rsid w:val="00DC7104"/>
    <w:rsid w:val="00DD0830"/>
    <w:rsid w:val="00DD0AE8"/>
    <w:rsid w:val="00DD489F"/>
    <w:rsid w:val="00DF6605"/>
    <w:rsid w:val="00E15E9E"/>
    <w:rsid w:val="00E170D7"/>
    <w:rsid w:val="00E2602E"/>
    <w:rsid w:val="00E317E3"/>
    <w:rsid w:val="00E34257"/>
    <w:rsid w:val="00E61468"/>
    <w:rsid w:val="00E67DF6"/>
    <w:rsid w:val="00E72A9B"/>
    <w:rsid w:val="00E747F1"/>
    <w:rsid w:val="00E7539D"/>
    <w:rsid w:val="00E80BE8"/>
    <w:rsid w:val="00EA1442"/>
    <w:rsid w:val="00EA1EC6"/>
    <w:rsid w:val="00EB2CD2"/>
    <w:rsid w:val="00EB6A36"/>
    <w:rsid w:val="00EC1B9B"/>
    <w:rsid w:val="00EC2F23"/>
    <w:rsid w:val="00EC3584"/>
    <w:rsid w:val="00EC6F3B"/>
    <w:rsid w:val="00EC7010"/>
    <w:rsid w:val="00EE0366"/>
    <w:rsid w:val="00EE2D5D"/>
    <w:rsid w:val="00EE51C3"/>
    <w:rsid w:val="00EE54ED"/>
    <w:rsid w:val="00EF60F4"/>
    <w:rsid w:val="00EF7864"/>
    <w:rsid w:val="00F1304A"/>
    <w:rsid w:val="00F13783"/>
    <w:rsid w:val="00F167B2"/>
    <w:rsid w:val="00F20A4E"/>
    <w:rsid w:val="00F23EC2"/>
    <w:rsid w:val="00F30171"/>
    <w:rsid w:val="00F3085A"/>
    <w:rsid w:val="00F32B58"/>
    <w:rsid w:val="00F40208"/>
    <w:rsid w:val="00F41E35"/>
    <w:rsid w:val="00F42674"/>
    <w:rsid w:val="00F43599"/>
    <w:rsid w:val="00F435CE"/>
    <w:rsid w:val="00F435D5"/>
    <w:rsid w:val="00F52E48"/>
    <w:rsid w:val="00F53C79"/>
    <w:rsid w:val="00F7211A"/>
    <w:rsid w:val="00F82E11"/>
    <w:rsid w:val="00F84749"/>
    <w:rsid w:val="00F90CD7"/>
    <w:rsid w:val="00F90DCD"/>
    <w:rsid w:val="00F9357D"/>
    <w:rsid w:val="00F962F0"/>
    <w:rsid w:val="00FA0126"/>
    <w:rsid w:val="00FA1551"/>
    <w:rsid w:val="00FB2C60"/>
    <w:rsid w:val="00FB3B12"/>
    <w:rsid w:val="00FC2DF9"/>
    <w:rsid w:val="00FD7A45"/>
    <w:rsid w:val="00FE0F45"/>
    <w:rsid w:val="00FE1551"/>
    <w:rsid w:val="00FE5D46"/>
    <w:rsid w:val="00FF73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01"/>
    <w:pPr>
      <w:spacing w:after="200" w:line="276" w:lineRule="auto"/>
    </w:pPr>
    <w:rPr>
      <w:sz w:val="22"/>
      <w:szCs w:val="22"/>
    </w:rPr>
  </w:style>
  <w:style w:type="paragraph" w:styleId="Heading1">
    <w:name w:val="heading 1"/>
    <w:basedOn w:val="Normal"/>
    <w:next w:val="Normal"/>
    <w:link w:val="Heading1Char"/>
    <w:qFormat/>
    <w:rsid w:val="008C196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01"/>
    <w:pPr>
      <w:ind w:left="720"/>
      <w:contextualSpacing/>
    </w:pPr>
  </w:style>
  <w:style w:type="paragraph" w:styleId="BalloonText">
    <w:name w:val="Balloon Text"/>
    <w:basedOn w:val="Normal"/>
    <w:semiHidden/>
    <w:rsid w:val="003D6D01"/>
    <w:rPr>
      <w:rFonts w:ascii="Tahoma" w:hAnsi="Tahoma" w:cs="Tahoma"/>
      <w:sz w:val="16"/>
      <w:szCs w:val="16"/>
    </w:rPr>
  </w:style>
  <w:style w:type="character" w:customStyle="1" w:styleId="BalloonTextChar">
    <w:name w:val="Balloon Text Char"/>
    <w:basedOn w:val="DefaultParagraphFont"/>
    <w:semiHidden/>
    <w:rsid w:val="003D6D01"/>
    <w:rPr>
      <w:rFonts w:ascii="Times New Roman" w:hAnsi="Times New Roman"/>
      <w:sz w:val="0"/>
      <w:szCs w:val="0"/>
    </w:rPr>
  </w:style>
  <w:style w:type="character" w:styleId="CommentReference">
    <w:name w:val="annotation reference"/>
    <w:basedOn w:val="DefaultParagraphFont"/>
    <w:semiHidden/>
    <w:rsid w:val="003D6D01"/>
    <w:rPr>
      <w:rFonts w:cs="Times New Roman"/>
      <w:sz w:val="16"/>
      <w:szCs w:val="16"/>
    </w:rPr>
  </w:style>
  <w:style w:type="paragraph" w:styleId="CommentText">
    <w:name w:val="annotation text"/>
    <w:basedOn w:val="Normal"/>
    <w:uiPriority w:val="99"/>
    <w:semiHidden/>
    <w:rsid w:val="003D6D01"/>
    <w:rPr>
      <w:sz w:val="20"/>
      <w:szCs w:val="20"/>
    </w:rPr>
  </w:style>
  <w:style w:type="character" w:customStyle="1" w:styleId="CommentTextChar">
    <w:name w:val="Comment Text Char"/>
    <w:basedOn w:val="DefaultParagraphFont"/>
    <w:uiPriority w:val="99"/>
    <w:semiHidden/>
    <w:locked/>
    <w:rsid w:val="003D6D01"/>
    <w:rPr>
      <w:rFonts w:cs="Times New Roman"/>
    </w:rPr>
  </w:style>
  <w:style w:type="paragraph" w:styleId="CommentSubject">
    <w:name w:val="annotation subject"/>
    <w:basedOn w:val="CommentText"/>
    <w:next w:val="CommentText"/>
    <w:semiHidden/>
    <w:rsid w:val="003D6D01"/>
    <w:rPr>
      <w:b/>
      <w:bCs/>
    </w:rPr>
  </w:style>
  <w:style w:type="character" w:customStyle="1" w:styleId="CommentSubjectChar">
    <w:name w:val="Comment Subject Char"/>
    <w:basedOn w:val="CommentTextChar"/>
    <w:semiHidden/>
    <w:rsid w:val="003D6D01"/>
    <w:rPr>
      <w:b/>
      <w:bCs/>
      <w:sz w:val="20"/>
      <w:szCs w:val="20"/>
    </w:rPr>
  </w:style>
  <w:style w:type="paragraph" w:styleId="Footer">
    <w:name w:val="footer"/>
    <w:basedOn w:val="Normal"/>
    <w:semiHidden/>
    <w:rsid w:val="003D6D01"/>
    <w:pPr>
      <w:tabs>
        <w:tab w:val="center" w:pos="4320"/>
        <w:tab w:val="right" w:pos="8640"/>
      </w:tabs>
    </w:pPr>
  </w:style>
  <w:style w:type="character" w:customStyle="1" w:styleId="FooterChar">
    <w:name w:val="Footer Char"/>
    <w:basedOn w:val="DefaultParagraphFont"/>
    <w:rsid w:val="003D6D01"/>
  </w:style>
  <w:style w:type="character" w:styleId="PageNumber">
    <w:name w:val="page number"/>
    <w:basedOn w:val="DefaultParagraphFont"/>
    <w:semiHidden/>
    <w:rsid w:val="003D6D01"/>
    <w:rPr>
      <w:rFonts w:cs="Times New Roman"/>
    </w:rPr>
  </w:style>
  <w:style w:type="paragraph" w:styleId="Header">
    <w:name w:val="header"/>
    <w:basedOn w:val="Normal"/>
    <w:semiHidden/>
    <w:rsid w:val="003D6D01"/>
    <w:pPr>
      <w:tabs>
        <w:tab w:val="center" w:pos="4680"/>
        <w:tab w:val="right" w:pos="9360"/>
      </w:tabs>
    </w:pPr>
  </w:style>
  <w:style w:type="character" w:customStyle="1" w:styleId="HeaderChar">
    <w:name w:val="Header Char"/>
    <w:basedOn w:val="DefaultParagraphFont"/>
    <w:locked/>
    <w:rsid w:val="003D6D01"/>
    <w:rPr>
      <w:rFonts w:cs="Times New Roman"/>
      <w:sz w:val="22"/>
      <w:szCs w:val="22"/>
    </w:rPr>
  </w:style>
  <w:style w:type="character" w:styleId="HTMLCode">
    <w:name w:val="HTML Code"/>
    <w:basedOn w:val="DefaultParagraphFont"/>
    <w:rsid w:val="003D6D01"/>
    <w:rPr>
      <w:rFonts w:ascii="Courier New" w:hAnsi="Courier New" w:cs="Courier New"/>
      <w:sz w:val="20"/>
      <w:szCs w:val="20"/>
    </w:rPr>
  </w:style>
  <w:style w:type="paragraph" w:styleId="FootnoteText">
    <w:name w:val="footnote text"/>
    <w:basedOn w:val="Normal"/>
    <w:semiHidden/>
    <w:unhideWhenUsed/>
    <w:rsid w:val="003D6D01"/>
    <w:rPr>
      <w:sz w:val="20"/>
      <w:szCs w:val="20"/>
    </w:rPr>
  </w:style>
  <w:style w:type="character" w:customStyle="1" w:styleId="FootnoteTextChar">
    <w:name w:val="Footnote Text Char"/>
    <w:basedOn w:val="DefaultParagraphFont"/>
    <w:semiHidden/>
    <w:rsid w:val="003D6D01"/>
  </w:style>
  <w:style w:type="character" w:styleId="FootnoteReference">
    <w:name w:val="footnote reference"/>
    <w:basedOn w:val="DefaultParagraphFont"/>
    <w:semiHidden/>
    <w:unhideWhenUsed/>
    <w:rsid w:val="003D6D01"/>
    <w:rPr>
      <w:vertAlign w:val="superscript"/>
    </w:rPr>
  </w:style>
  <w:style w:type="paragraph" w:styleId="NormalWeb">
    <w:name w:val="Normal (Web)"/>
    <w:basedOn w:val="Normal"/>
    <w:uiPriority w:val="99"/>
    <w:unhideWhenUsed/>
    <w:rsid w:val="003D6D0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semiHidden/>
    <w:rsid w:val="003D6D01"/>
    <w:pPr>
      <w:spacing w:before="240"/>
    </w:pPr>
    <w:rPr>
      <w:rFonts w:ascii="Times New Roman" w:hAnsi="Times New Roman"/>
      <w:b/>
      <w:sz w:val="24"/>
    </w:rPr>
  </w:style>
  <w:style w:type="table" w:styleId="TableGrid">
    <w:name w:val="Table Grid"/>
    <w:basedOn w:val="TableNormal"/>
    <w:uiPriority w:val="59"/>
    <w:rsid w:val="00BB6A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rsid w:val="00700F6F"/>
    <w:pPr>
      <w:spacing w:before="120" w:after="0" w:line="240" w:lineRule="auto"/>
      <w:ind w:left="360"/>
    </w:pPr>
    <w:rPr>
      <w:rFonts w:ascii="Arial" w:eastAsia="Times New Roman" w:hAnsi="Arial"/>
      <w:szCs w:val="24"/>
    </w:rPr>
  </w:style>
  <w:style w:type="character" w:styleId="Hyperlink">
    <w:name w:val="Hyperlink"/>
    <w:basedOn w:val="DefaultParagraphFont"/>
    <w:uiPriority w:val="99"/>
    <w:semiHidden/>
    <w:unhideWhenUsed/>
    <w:rsid w:val="00432535"/>
    <w:rPr>
      <w:color w:val="0000FF"/>
      <w:u w:val="single"/>
    </w:rPr>
  </w:style>
  <w:style w:type="character" w:customStyle="1" w:styleId="Heading1Char">
    <w:name w:val="Heading 1 Char"/>
    <w:basedOn w:val="DefaultParagraphFont"/>
    <w:link w:val="Heading1"/>
    <w:rsid w:val="008C196A"/>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88818620">
      <w:bodyDiv w:val="1"/>
      <w:marLeft w:val="0"/>
      <w:marRight w:val="0"/>
      <w:marTop w:val="0"/>
      <w:marBottom w:val="0"/>
      <w:divBdr>
        <w:top w:val="none" w:sz="0" w:space="0" w:color="auto"/>
        <w:left w:val="none" w:sz="0" w:space="0" w:color="auto"/>
        <w:bottom w:val="none" w:sz="0" w:space="0" w:color="auto"/>
        <w:right w:val="none" w:sz="0" w:space="0" w:color="auto"/>
      </w:divBdr>
    </w:div>
    <w:div w:id="360205784">
      <w:bodyDiv w:val="1"/>
      <w:marLeft w:val="0"/>
      <w:marRight w:val="0"/>
      <w:marTop w:val="0"/>
      <w:marBottom w:val="0"/>
      <w:divBdr>
        <w:top w:val="none" w:sz="0" w:space="0" w:color="auto"/>
        <w:left w:val="none" w:sz="0" w:space="0" w:color="auto"/>
        <w:bottom w:val="none" w:sz="0" w:space="0" w:color="auto"/>
        <w:right w:val="none" w:sz="0" w:space="0" w:color="auto"/>
      </w:divBdr>
    </w:div>
    <w:div w:id="953828967">
      <w:bodyDiv w:val="1"/>
      <w:marLeft w:val="0"/>
      <w:marRight w:val="0"/>
      <w:marTop w:val="0"/>
      <w:marBottom w:val="0"/>
      <w:divBdr>
        <w:top w:val="none" w:sz="0" w:space="0" w:color="auto"/>
        <w:left w:val="none" w:sz="0" w:space="0" w:color="auto"/>
        <w:bottom w:val="none" w:sz="0" w:space="0" w:color="auto"/>
        <w:right w:val="none" w:sz="0" w:space="0" w:color="auto"/>
      </w:divBdr>
    </w:div>
    <w:div w:id="1439910927">
      <w:bodyDiv w:val="1"/>
      <w:marLeft w:val="0"/>
      <w:marRight w:val="0"/>
      <w:marTop w:val="0"/>
      <w:marBottom w:val="0"/>
      <w:divBdr>
        <w:top w:val="none" w:sz="0" w:space="0" w:color="auto"/>
        <w:left w:val="none" w:sz="0" w:space="0" w:color="auto"/>
        <w:bottom w:val="none" w:sz="0" w:space="0" w:color="auto"/>
        <w:right w:val="none" w:sz="0" w:space="0" w:color="auto"/>
      </w:divBdr>
    </w:div>
    <w:div w:id="1544516851">
      <w:bodyDiv w:val="1"/>
      <w:marLeft w:val="0"/>
      <w:marRight w:val="0"/>
      <w:marTop w:val="0"/>
      <w:marBottom w:val="0"/>
      <w:divBdr>
        <w:top w:val="none" w:sz="0" w:space="0" w:color="auto"/>
        <w:left w:val="none" w:sz="0" w:space="0" w:color="auto"/>
        <w:bottom w:val="none" w:sz="0" w:space="0" w:color="auto"/>
        <w:right w:val="none" w:sz="0" w:space="0" w:color="auto"/>
      </w:divBdr>
      <w:divsChild>
        <w:div w:id="775634987">
          <w:marLeft w:val="547"/>
          <w:marRight w:val="0"/>
          <w:marTop w:val="120"/>
          <w:marBottom w:val="0"/>
          <w:divBdr>
            <w:top w:val="none" w:sz="0" w:space="0" w:color="auto"/>
            <w:left w:val="none" w:sz="0" w:space="0" w:color="auto"/>
            <w:bottom w:val="none" w:sz="0" w:space="0" w:color="auto"/>
            <w:right w:val="none" w:sz="0" w:space="0" w:color="auto"/>
          </w:divBdr>
        </w:div>
      </w:divsChild>
    </w:div>
    <w:div w:id="1616600695">
      <w:bodyDiv w:val="1"/>
      <w:marLeft w:val="0"/>
      <w:marRight w:val="0"/>
      <w:marTop w:val="0"/>
      <w:marBottom w:val="0"/>
      <w:divBdr>
        <w:top w:val="none" w:sz="0" w:space="0" w:color="auto"/>
        <w:left w:val="none" w:sz="0" w:space="0" w:color="auto"/>
        <w:bottom w:val="none" w:sz="0" w:space="0" w:color="auto"/>
        <w:right w:val="none" w:sz="0" w:space="0" w:color="auto"/>
      </w:divBdr>
    </w:div>
    <w:div w:id="1764762752">
      <w:bodyDiv w:val="1"/>
      <w:marLeft w:val="0"/>
      <w:marRight w:val="0"/>
      <w:marTop w:val="0"/>
      <w:marBottom w:val="0"/>
      <w:divBdr>
        <w:top w:val="none" w:sz="0" w:space="0" w:color="auto"/>
        <w:left w:val="none" w:sz="0" w:space="0" w:color="auto"/>
        <w:bottom w:val="none" w:sz="0" w:space="0" w:color="auto"/>
        <w:right w:val="none" w:sz="0" w:space="0" w:color="auto"/>
      </w:divBdr>
      <w:divsChild>
        <w:div w:id="223641438">
          <w:marLeft w:val="547"/>
          <w:marRight w:val="0"/>
          <w:marTop w:val="115"/>
          <w:marBottom w:val="120"/>
          <w:divBdr>
            <w:top w:val="none" w:sz="0" w:space="0" w:color="auto"/>
            <w:left w:val="none" w:sz="0" w:space="0" w:color="auto"/>
            <w:bottom w:val="none" w:sz="0" w:space="0" w:color="auto"/>
            <w:right w:val="none" w:sz="0" w:space="0" w:color="auto"/>
          </w:divBdr>
        </w:div>
        <w:div w:id="1492983159">
          <w:marLeft w:val="1526"/>
          <w:marRight w:val="0"/>
          <w:marTop w:val="0"/>
          <w:marBottom w:val="120"/>
          <w:divBdr>
            <w:top w:val="none" w:sz="0" w:space="0" w:color="auto"/>
            <w:left w:val="none" w:sz="0" w:space="0" w:color="auto"/>
            <w:bottom w:val="none" w:sz="0" w:space="0" w:color="auto"/>
            <w:right w:val="none" w:sz="0" w:space="0" w:color="auto"/>
          </w:divBdr>
        </w:div>
      </w:divsChild>
    </w:div>
    <w:div w:id="1917007746">
      <w:bodyDiv w:val="1"/>
      <w:marLeft w:val="0"/>
      <w:marRight w:val="0"/>
      <w:marTop w:val="0"/>
      <w:marBottom w:val="0"/>
      <w:divBdr>
        <w:top w:val="none" w:sz="0" w:space="0" w:color="auto"/>
        <w:left w:val="none" w:sz="0" w:space="0" w:color="auto"/>
        <w:bottom w:val="none" w:sz="0" w:space="0" w:color="auto"/>
        <w:right w:val="none" w:sz="0" w:space="0" w:color="auto"/>
      </w:divBdr>
      <w:divsChild>
        <w:div w:id="133918985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E0581C6B955845A01F483852E3E29C" ma:contentTypeVersion="0" ma:contentTypeDescription="Create a new document." ma:contentTypeScope="" ma:versionID="2ab0e871cd0acb4989e5ea8880e173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D38BC1-F8EB-4020-A1BA-0F6B14708577}"/>
</file>

<file path=customXml/itemProps2.xml><?xml version="1.0" encoding="utf-8"?>
<ds:datastoreItem xmlns:ds="http://schemas.openxmlformats.org/officeDocument/2006/customXml" ds:itemID="{A638BE37-179C-4923-83AC-885A5A40BDD8}"/>
</file>

<file path=customXml/itemProps3.xml><?xml version="1.0" encoding="utf-8"?>
<ds:datastoreItem xmlns:ds="http://schemas.openxmlformats.org/officeDocument/2006/customXml" ds:itemID="{9FB6C505-D74A-4280-8916-BE3EA4208525}"/>
</file>

<file path=customXml/itemProps4.xml><?xml version="1.0" encoding="utf-8"?>
<ds:datastoreItem xmlns:ds="http://schemas.openxmlformats.org/officeDocument/2006/customXml" ds:itemID="{5C40F7BB-43E0-4474-BDC3-190FCD9DF0B1}"/>
</file>

<file path=docProps/app.xml><?xml version="1.0" encoding="utf-8"?>
<Properties xmlns="http://schemas.openxmlformats.org/officeDocument/2006/extended-properties" xmlns:vt="http://schemas.openxmlformats.org/officeDocument/2006/docPropsVTypes">
  <Template>Normal.dotm</Template>
  <TotalTime>7</TotalTime>
  <Pages>30</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52654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MRC</dc:creator>
  <cp:keywords/>
  <cp:lastModifiedBy>Rick Wornat</cp:lastModifiedBy>
  <cp:revision>3</cp:revision>
  <cp:lastPrinted>2010-05-25T16:50:00Z</cp:lastPrinted>
  <dcterms:created xsi:type="dcterms:W3CDTF">2010-08-18T14:54:00Z</dcterms:created>
  <dcterms:modified xsi:type="dcterms:W3CDTF">2010-08-18T21:03:00Z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0x010100BBE0581C6B955845A01F483852E3E29C</vt:lpwstr>
  </property>
</Properties>
</file>